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Schlussmitteilung</w:t>
      </w:r>
    </w:p>
    <w:p>
      <w:pPr>
        <w:jc w:val="center"/>
      </w:pPr>
      <w:r>
        <w:rPr>
          <w:b/>
        </w:rPr>
        <w:t>Nordlicht Handels GmbH – AG Kiel 10 IN 127/13</w:t>
      </w:r>
    </w:p>
    <w:tbl>
      <w:tblPr>
        <w:tblStyle w:val="TableGrid"/>
        <w:tblW w:type="auto" w:w="0"/>
        <w:jc w:val="center"/>
        <w:tblLook w:firstColumn="1" w:firstRow="1" w:lastColumn="0" w:lastRow="0" w:noHBand="0" w:noVBand="1" w:val="04A0"/>
      </w:tblPr>
      <w:tblGrid>
        <w:gridCol w:w="4872"/>
        <w:gridCol w:w="4872"/>
      </w:tblGrid>
      <w:tr>
        <w:tc>
          <w:tcPr>
            <w:tcW w:type="dxa" w:w="2835"/>
            <w:shd w:fill="D9EAF7"/>
          </w:tcPr>
          <w:p>
            <w:r>
              <w:rPr>
                <w:rFonts w:ascii="Times New Roman" w:hAnsi="Times New Roman"/>
                <w:b/>
                <w:sz w:val="20"/>
              </w:rPr>
              <w:t>Verfahrensangabe</w:t>
            </w:r>
          </w:p>
        </w:tc>
        <w:tc>
          <w:tcPr>
            <w:tcW w:type="dxa" w:w="6236"/>
            <w:shd w:fill="D9EAF7"/>
          </w:tcPr>
          <w:p>
            <w:r>
              <w:rPr>
                <w:rFonts w:ascii="Times New Roman" w:hAnsi="Times New Roman"/>
                <w:b/>
                <w:sz w:val="20"/>
              </w:rPr>
              <w:t>Wert</w:t>
            </w:r>
          </w:p>
        </w:tc>
      </w:tr>
      <w:tr>
        <w:tc>
          <w:tcPr>
            <w:tcW w:type="dxa" w:w="2835"/>
            <w:vAlign w:val="top"/>
          </w:tcPr>
          <w:p>
            <w:r>
              <w:rPr>
                <w:rFonts w:ascii="Times New Roman" w:hAnsi="Times New Roman"/>
                <w:sz w:val="18"/>
              </w:rPr>
              <w:t>Insolvenzgericht</w:t>
            </w:r>
          </w:p>
        </w:tc>
        <w:tc>
          <w:tcPr>
            <w:tcW w:type="dxa" w:w="6236"/>
            <w:vAlign w:val="top"/>
          </w:tcPr>
          <w:p>
            <w:r>
              <w:rPr>
                <w:rFonts w:ascii="Times New Roman" w:hAnsi="Times New Roman"/>
                <w:sz w:val="18"/>
              </w:rPr>
              <w:t>Amtsgericht Kiel</w:t>
            </w:r>
          </w:p>
        </w:tc>
      </w:tr>
      <w:tr>
        <w:tc>
          <w:tcPr>
            <w:tcW w:type="dxa" w:w="2835"/>
            <w:vAlign w:val="top"/>
          </w:tcPr>
          <w:p>
            <w:r>
              <w:rPr>
                <w:rFonts w:ascii="Times New Roman" w:hAnsi="Times New Roman"/>
                <w:sz w:val="18"/>
              </w:rPr>
              <w:t>Aktenzeichen</w:t>
            </w:r>
          </w:p>
        </w:tc>
        <w:tc>
          <w:tcPr>
            <w:tcW w:type="dxa" w:w="6236"/>
            <w:vAlign w:val="top"/>
          </w:tcPr>
          <w:p>
            <w:r>
              <w:rPr>
                <w:rFonts w:ascii="Times New Roman" w:hAnsi="Times New Roman"/>
                <w:sz w:val="18"/>
              </w:rPr>
              <w:t>10 IN 127/13</w:t>
            </w:r>
          </w:p>
        </w:tc>
      </w:tr>
      <w:tr>
        <w:tc>
          <w:tcPr>
            <w:tcW w:type="dxa" w:w="2835"/>
            <w:vAlign w:val="top"/>
          </w:tcPr>
          <w:p>
            <w:r>
              <w:rPr>
                <w:rFonts w:ascii="Times New Roman" w:hAnsi="Times New Roman"/>
                <w:sz w:val="18"/>
              </w:rPr>
              <w:t>Schuldnerin</w:t>
            </w:r>
          </w:p>
        </w:tc>
        <w:tc>
          <w:tcPr>
            <w:tcW w:type="dxa" w:w="6236"/>
            <w:vAlign w:val="top"/>
          </w:tcPr>
          <w:p>
            <w:r>
              <w:rPr>
                <w:rFonts w:ascii="Times New Roman" w:hAnsi="Times New Roman"/>
                <w:sz w:val="18"/>
              </w:rPr>
              <w:t>Nordlicht Handels GmbH</w:t>
            </w:r>
          </w:p>
        </w:tc>
      </w:tr>
      <w:tr>
        <w:tc>
          <w:tcPr>
            <w:tcW w:type="dxa" w:w="2835"/>
            <w:vAlign w:val="top"/>
          </w:tcPr>
          <w:p>
            <w:r>
              <w:rPr>
                <w:rFonts w:ascii="Times New Roman" w:hAnsi="Times New Roman"/>
                <w:sz w:val="18"/>
              </w:rPr>
              <w:t>Insolvenzverwaltung</w:t>
            </w:r>
          </w:p>
        </w:tc>
        <w:tc>
          <w:tcPr>
            <w:tcW w:type="dxa" w:w="6236"/>
            <w:vAlign w:val="top"/>
          </w:tcPr>
          <w:p>
            <w:r>
              <w:rPr>
                <w:rFonts w:ascii="Times New Roman" w:hAnsi="Times New Roman"/>
                <w:sz w:val="18"/>
              </w:rPr>
              <w:t>Dr. Jens-Peter Hartmann</w:t>
            </w:r>
          </w:p>
        </w:tc>
      </w:tr>
      <w:tr>
        <w:tc>
          <w:tcPr>
            <w:tcW w:type="dxa" w:w="2835"/>
            <w:vAlign w:val="top"/>
          </w:tcPr>
          <w:p>
            <w:r>
              <w:rPr>
                <w:rFonts w:ascii="Times New Roman" w:hAnsi="Times New Roman"/>
                <w:sz w:val="18"/>
              </w:rPr>
              <w:t>Datum</w:t>
            </w:r>
          </w:p>
        </w:tc>
        <w:tc>
          <w:tcPr>
            <w:tcW w:type="dxa" w:w="6236"/>
            <w:vAlign w:val="top"/>
          </w:tcPr>
          <w:p>
            <w:r>
              <w:rPr>
                <w:rFonts w:ascii="Times New Roman" w:hAnsi="Times New Roman"/>
                <w:sz w:val="18"/>
              </w:rPr>
              <w:t>24. April 2024</w:t>
            </w:r>
          </w:p>
        </w:tc>
      </w:tr>
      <w:tr>
        <w:tc>
          <w:tcPr>
            <w:tcW w:type="dxa" w:w="2835"/>
            <w:vAlign w:val="top"/>
          </w:tcPr>
          <w:p>
            <w:r>
              <w:rPr>
                <w:rFonts w:ascii="Times New Roman" w:hAnsi="Times New Roman"/>
                <w:sz w:val="18"/>
              </w:rPr>
              <w:t>Gegenstand</w:t>
            </w:r>
          </w:p>
        </w:tc>
        <w:tc>
          <w:tcPr>
            <w:tcW w:type="dxa" w:w="6236"/>
            <w:vAlign w:val="top"/>
          </w:tcPr>
          <w:p>
            <w:r>
              <w:rPr>
                <w:rFonts w:ascii="Times New Roman" w:hAnsi="Times New Roman"/>
                <w:sz w:val="18"/>
              </w:rPr>
              <w:t>Nachweis des Vollzugs der Schlussverteilung</w:t>
            </w:r>
          </w:p>
        </w:tc>
      </w:tr>
    </w:tbl>
    <w:p/>
    <w:p>
      <w:pPr>
        <w:pStyle w:val="Heading1"/>
      </w:pPr>
      <w:r>
        <w:t>1. Mitteilung</w:t>
      </w:r>
    </w:p>
    <w:p>
      <w:pPr>
        <w:spacing w:after="120"/>
      </w:pPr>
      <w:r>
        <w:t>Die mit Zustimmung vom 22. März 2024 vorbereitete Schlussverteilung ist vollständig vollzogen. Auf festgestellte Forderungen von 509.842,00 EUR wurden insgesamt 120.462,00 EUR ausgekehrt. Die Auszahlungen und der fehlende Rücklauf sind durch den beigefügten Kontoauszug belegt.</w:t>
      </w:r>
    </w:p>
    <w:p>
      <w:pPr>
        <w:pStyle w:val="Heading1"/>
      </w:pPr>
      <w:r>
        <w:t>2. Anregung</w:t>
      </w:r>
    </w:p>
    <w:p>
      <w:pPr>
        <w:spacing w:after="120"/>
      </w:pPr>
      <w:r>
        <w:t>Es wird angeregt, das Insolvenzverfahren nach § 200 InsO aufzuheben. Ein derzeit nicht vorhandener späterer Massezufluss bleibt einer gesonderten Prüfung nach den §§ 203 bis 205 InsO vorbehalten.</w:t>
      </w:r>
    </w:p>
    <w:sectPr w:rsidR="00FC693F" w:rsidRPr="0006063C" w:rsidSect="00034616">
      <w:pgSz w:w="12240" w:h="15840"/>
      <w:pgMar w:top="1191"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Schlussmitteilung</dc:title>
  <dc:subject>Insolvenzverwaltung</dc:subject>
  <dc:creator>Synthetische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