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Prüf- und Verteilungsvermerk Nachtragsmasse</w:t>
      </w:r>
    </w:p>
    <w:p>
      <w:pPr>
        <w:jc w:val="center"/>
      </w:pPr>
      <w:r>
        <w:rPr>
          <w:b/>
        </w:rPr>
        <w:t>Nordlicht Handels GmbH – Steuerzins 2024</w:t>
      </w:r>
    </w:p>
    <w:tbl>
      <w:tblPr>
        <w:tblStyle w:val="TableGrid"/>
        <w:tblW w:type="auto" w:w="0"/>
        <w:jc w:val="center"/>
        <w:tblLook w:firstColumn="1" w:firstRow="1" w:lastColumn="0" w:lastRow="0" w:noHBand="0" w:noVBand="1" w:val="04A0"/>
      </w:tblPr>
      <w:tblGrid>
        <w:gridCol w:w="4872"/>
        <w:gridCol w:w="4872"/>
      </w:tblGrid>
      <w:tr>
        <w:tc>
          <w:tcPr>
            <w:tcW w:type="dxa" w:w="2835"/>
            <w:shd w:fill="D9EAF7"/>
          </w:tcPr>
          <w:p>
            <w:r>
              <w:rPr>
                <w:rFonts w:ascii="Times New Roman" w:hAnsi="Times New Roman"/>
                <w:b/>
                <w:sz w:val="20"/>
              </w:rPr>
              <w:t>Verfahrensangabe</w:t>
            </w:r>
          </w:p>
        </w:tc>
        <w:tc>
          <w:tcPr>
            <w:tcW w:type="dxa" w:w="6236"/>
            <w:shd w:fill="D9EAF7"/>
          </w:tcPr>
          <w:p>
            <w:r>
              <w:rPr>
                <w:rFonts w:ascii="Times New Roman" w:hAnsi="Times New Roman"/>
                <w:b/>
                <w:sz w:val="20"/>
              </w:rPr>
              <w:t>Wert</w:t>
            </w:r>
          </w:p>
        </w:tc>
      </w:tr>
      <w:tr>
        <w:tc>
          <w:tcPr>
            <w:tcW w:type="dxa" w:w="2835"/>
            <w:vAlign w:val="top"/>
          </w:tcPr>
          <w:p>
            <w:r>
              <w:rPr>
                <w:rFonts w:ascii="Times New Roman" w:hAnsi="Times New Roman"/>
                <w:sz w:val="18"/>
              </w:rPr>
              <w:t>Insolvenzgericht</w:t>
            </w:r>
          </w:p>
        </w:tc>
        <w:tc>
          <w:tcPr>
            <w:tcW w:type="dxa" w:w="6236"/>
            <w:vAlign w:val="top"/>
          </w:tcPr>
          <w:p>
            <w:r>
              <w:rPr>
                <w:rFonts w:ascii="Times New Roman" w:hAnsi="Times New Roman"/>
                <w:sz w:val="18"/>
              </w:rPr>
              <w:t>Amtsgericht Kiel</w:t>
            </w:r>
          </w:p>
        </w:tc>
      </w:tr>
      <w:tr>
        <w:tc>
          <w:tcPr>
            <w:tcW w:type="dxa" w:w="2835"/>
            <w:vAlign w:val="top"/>
          </w:tcPr>
          <w:p>
            <w:r>
              <w:rPr>
                <w:rFonts w:ascii="Times New Roman" w:hAnsi="Times New Roman"/>
                <w:sz w:val="18"/>
              </w:rPr>
              <w:t>Aktenzeichen</w:t>
            </w:r>
          </w:p>
        </w:tc>
        <w:tc>
          <w:tcPr>
            <w:tcW w:type="dxa" w:w="6236"/>
            <w:vAlign w:val="top"/>
          </w:tcPr>
          <w:p>
            <w:r>
              <w:rPr>
                <w:rFonts w:ascii="Times New Roman" w:hAnsi="Times New Roman"/>
                <w:sz w:val="18"/>
              </w:rPr>
              <w:t>10 IN 127/13</w:t>
            </w:r>
          </w:p>
        </w:tc>
      </w:tr>
      <w:tr>
        <w:tc>
          <w:tcPr>
            <w:tcW w:type="dxa" w:w="2835"/>
            <w:vAlign w:val="top"/>
          </w:tcPr>
          <w:p>
            <w:r>
              <w:rPr>
                <w:rFonts w:ascii="Times New Roman" w:hAnsi="Times New Roman"/>
                <w:sz w:val="18"/>
              </w:rPr>
              <w:t>Schuldnerin</w:t>
            </w:r>
          </w:p>
        </w:tc>
        <w:tc>
          <w:tcPr>
            <w:tcW w:type="dxa" w:w="6236"/>
            <w:vAlign w:val="top"/>
          </w:tcPr>
          <w:p>
            <w:r>
              <w:rPr>
                <w:rFonts w:ascii="Times New Roman" w:hAnsi="Times New Roman"/>
                <w:sz w:val="18"/>
              </w:rPr>
              <w:t>Nordlicht Handels GmbH</w:t>
            </w:r>
          </w:p>
        </w:tc>
      </w:tr>
      <w:tr>
        <w:tc>
          <w:tcPr>
            <w:tcW w:type="dxa" w:w="2835"/>
            <w:vAlign w:val="top"/>
          </w:tcPr>
          <w:p>
            <w:r>
              <w:rPr>
                <w:rFonts w:ascii="Times New Roman" w:hAnsi="Times New Roman"/>
                <w:sz w:val="18"/>
              </w:rPr>
              <w:t>Insolvenzverwaltung</w:t>
            </w:r>
          </w:p>
        </w:tc>
        <w:tc>
          <w:tcPr>
            <w:tcW w:type="dxa" w:w="6236"/>
            <w:vAlign w:val="top"/>
          </w:tcPr>
          <w:p>
            <w:r>
              <w:rPr>
                <w:rFonts w:ascii="Times New Roman" w:hAnsi="Times New Roman"/>
                <w:sz w:val="18"/>
              </w:rPr>
              <w:t>Dr. Jens-Peter Hartmann</w:t>
            </w:r>
          </w:p>
        </w:tc>
      </w:tr>
      <w:tr>
        <w:tc>
          <w:tcPr>
            <w:tcW w:type="dxa" w:w="2835"/>
            <w:vAlign w:val="top"/>
          </w:tcPr>
          <w:p>
            <w:r>
              <w:rPr>
                <w:rFonts w:ascii="Times New Roman" w:hAnsi="Times New Roman"/>
                <w:sz w:val="18"/>
              </w:rPr>
              <w:t>Datum</w:t>
            </w:r>
          </w:p>
        </w:tc>
        <w:tc>
          <w:tcPr>
            <w:tcW w:type="dxa" w:w="6236"/>
            <w:vAlign w:val="top"/>
          </w:tcPr>
          <w:p>
            <w:r>
              <w:rPr>
                <w:rFonts w:ascii="Times New Roman" w:hAnsi="Times New Roman"/>
                <w:sz w:val="18"/>
              </w:rPr>
              <w:t>20. Oktober 2024</w:t>
            </w:r>
          </w:p>
        </w:tc>
      </w:tr>
      <w:tr>
        <w:tc>
          <w:tcPr>
            <w:tcW w:type="dxa" w:w="2835"/>
            <w:vAlign w:val="top"/>
          </w:tcPr>
          <w:p>
            <w:r>
              <w:rPr>
                <w:rFonts w:ascii="Times New Roman" w:hAnsi="Times New Roman"/>
                <w:sz w:val="18"/>
              </w:rPr>
              <w:t>Gegenstand</w:t>
            </w:r>
          </w:p>
        </w:tc>
        <w:tc>
          <w:tcPr>
            <w:tcW w:type="dxa" w:w="6236"/>
            <w:vAlign w:val="top"/>
          </w:tcPr>
          <w:p>
            <w:r>
              <w:rPr>
                <w:rFonts w:ascii="Times New Roman" w:hAnsi="Times New Roman"/>
                <w:sz w:val="18"/>
              </w:rPr>
              <w:t>Nach Aufhebung zugeflossener Erstattungszins</w:t>
            </w:r>
          </w:p>
        </w:tc>
      </w:tr>
    </w:tbl>
    <w:p/>
    <w:p>
      <w:pPr>
        <w:pStyle w:val="Heading1"/>
      </w:pPr>
      <w:r>
        <w:t>1. Neuer Vorgang</w:t>
      </w:r>
    </w:p>
    <w:p>
      <w:pPr>
        <w:spacing w:after="120"/>
      </w:pPr>
      <w:r>
        <w:t>Das Finanzamt Kiel-Süd zahlte am 12. Oktober 2024 einen Erstattungszins von 3.180,00 EUR aus. Der zugrunde liegende Steuerbescheid betrifft die Veranlagungszeiträume 2008 bis 2012. Der Betrag war beim Vollzug der Schlussverteilung weder festgesetzt noch verfügbar.</w:t>
      </w:r>
    </w:p>
    <w:p>
      <w:pPr>
        <w:pStyle w:val="Heading1"/>
      </w:pPr>
      <w:r>
        <w:t>2. Prüfung</w:t>
      </w:r>
    </w:p>
    <w:p>
      <w:pPr>
        <w:spacing w:after="120"/>
      </w:pPr>
      <w:r>
        <w:t>Vor einem Antrag auf Nachtragsverteilung sind Massezugehörigkeit, Bestandskraft des Bescheids, Abzug konkret entstehender Kosten und die fortbestehende Empfängerberechtigung jedes Gläubigers zu prüfen. Eine Nachtragsverteilung darf nicht allein deshalb angenommen werden, weil die Zahlung nach Aufhebung einging. Die Entscheidung des Bundesgerichtshofs vom 26. September 2024, IX ZB 5/24, bestätigt für ihren Fall, dass eine Steuererstattung trotz Restschuldbefreiung Gegenstand einer Nachtragsverteilung sein kann; sie ersetzt die konkrete Prüfung der Massezugehörigkeit nicht.</w:t>
      </w:r>
    </w:p>
    <w:p>
      <w:pPr>
        <w:pStyle w:val="Heading1"/>
      </w:pPr>
      <w:r>
        <w:t>3. Arbeitsrechnung</w:t>
      </w:r>
    </w:p>
    <w:tbl>
      <w:tblPr>
        <w:tblStyle w:val="TableGrid"/>
        <w:tblW w:type="auto" w:w="0"/>
        <w:jc w:val="center"/>
        <w:tblLook w:firstColumn="1" w:firstRow="1" w:lastColumn="0" w:lastRow="0" w:noHBand="0" w:noVBand="1" w:val="04A0"/>
      </w:tblPr>
      <w:tblGrid>
        <w:gridCol w:w="4872"/>
        <w:gridCol w:w="4872"/>
      </w:tblGrid>
      <w:tr>
        <w:tc>
          <w:tcPr>
            <w:tcW w:type="dxa" w:w="4872"/>
            <w:shd w:fill="D9EAF7"/>
          </w:tcPr>
          <w:p>
            <w:r>
              <w:rPr>
                <w:rFonts w:ascii="Times New Roman" w:hAnsi="Times New Roman"/>
                <w:b/>
                <w:sz w:val="20"/>
              </w:rPr>
              <w:t>Rechengröße</w:t>
            </w:r>
          </w:p>
        </w:tc>
        <w:tc>
          <w:tcPr>
            <w:tcW w:type="dxa" w:w="4872"/>
            <w:shd w:fill="D9EAF7"/>
          </w:tcPr>
          <w:p>
            <w:r>
              <w:rPr>
                <w:rFonts w:ascii="Times New Roman" w:hAnsi="Times New Roman"/>
                <w:b/>
                <w:sz w:val="20"/>
              </w:rPr>
              <w:t>Betrag</w:t>
            </w:r>
          </w:p>
        </w:tc>
      </w:tr>
      <w:tr>
        <w:tc>
          <w:tcPr>
            <w:tcW w:type="dxa" w:w="4872"/>
            <w:vAlign w:val="top"/>
          </w:tcPr>
          <w:p>
            <w:r>
              <w:rPr>
                <w:rFonts w:ascii="Times New Roman" w:hAnsi="Times New Roman"/>
                <w:sz w:val="18"/>
              </w:rPr>
              <w:t>Zufluss</w:t>
            </w:r>
          </w:p>
        </w:tc>
        <w:tc>
          <w:tcPr>
            <w:tcW w:type="dxa" w:w="4872"/>
            <w:vAlign w:val="top"/>
          </w:tcPr>
          <w:p>
            <w:r>
              <w:rPr>
                <w:rFonts w:ascii="Times New Roman" w:hAnsi="Times New Roman"/>
                <w:sz w:val="18"/>
              </w:rPr>
              <w:t>3.180,00 EUR</w:t>
            </w:r>
          </w:p>
        </w:tc>
      </w:tr>
      <w:tr>
        <w:tc>
          <w:tcPr>
            <w:tcW w:type="dxa" w:w="4872"/>
            <w:vAlign w:val="top"/>
          </w:tcPr>
          <w:p>
            <w:r>
              <w:rPr>
                <w:rFonts w:ascii="Times New Roman" w:hAnsi="Times New Roman"/>
                <w:sz w:val="18"/>
              </w:rPr>
              <w:t>Vorerst geschätzte Kosten</w:t>
            </w:r>
          </w:p>
        </w:tc>
        <w:tc>
          <w:tcPr>
            <w:tcW w:type="dxa" w:w="4872"/>
            <w:vAlign w:val="top"/>
          </w:tcPr>
          <w:p>
            <w:r>
              <w:rPr>
                <w:rFonts w:ascii="Times New Roman" w:hAnsi="Times New Roman"/>
                <w:sz w:val="18"/>
              </w:rPr>
              <w:t>0,00 EUR</w:t>
            </w:r>
          </w:p>
        </w:tc>
      </w:tr>
      <w:tr>
        <w:tc>
          <w:tcPr>
            <w:tcW w:type="dxa" w:w="4872"/>
            <w:vAlign w:val="top"/>
          </w:tcPr>
          <w:p>
            <w:r>
              <w:rPr>
                <w:rFonts w:ascii="Times New Roman" w:hAnsi="Times New Roman"/>
                <w:sz w:val="18"/>
              </w:rPr>
              <w:t>Vorläufige Teilungsmasse</w:t>
            </w:r>
          </w:p>
        </w:tc>
        <w:tc>
          <w:tcPr>
            <w:tcW w:type="dxa" w:w="4872"/>
            <w:vAlign w:val="top"/>
          </w:tcPr>
          <w:p>
            <w:r>
              <w:rPr>
                <w:rFonts w:ascii="Times New Roman" w:hAnsi="Times New Roman"/>
                <w:sz w:val="18"/>
              </w:rPr>
              <w:t>3.180,00 EUR</w:t>
            </w:r>
          </w:p>
        </w:tc>
      </w:tr>
      <w:tr>
        <w:tc>
          <w:tcPr>
            <w:tcW w:type="dxa" w:w="4872"/>
            <w:vAlign w:val="top"/>
          </w:tcPr>
          <w:p>
            <w:r>
              <w:rPr>
                <w:rFonts w:ascii="Times New Roman" w:hAnsi="Times New Roman"/>
                <w:sz w:val="18"/>
              </w:rPr>
              <w:t>Bisherige Forderungsbasis</w:t>
            </w:r>
          </w:p>
        </w:tc>
        <w:tc>
          <w:tcPr>
            <w:tcW w:type="dxa" w:w="4872"/>
            <w:vAlign w:val="top"/>
          </w:tcPr>
          <w:p>
            <w:r>
              <w:rPr>
                <w:rFonts w:ascii="Times New Roman" w:hAnsi="Times New Roman"/>
                <w:sz w:val="18"/>
              </w:rPr>
              <w:t>509.842,00 EUR</w:t>
            </w:r>
          </w:p>
        </w:tc>
      </w:tr>
    </w:tbl>
    <w:p/>
    <w:p>
      <w:pPr>
        <w:spacing w:after="120"/>
      </w:pPr>
      <w:r>
        <w:t>Die Arbeitsquote beträgt vor Kosten 0,623722 Prozent. Der Zahlungslauf wird erst nach gerichtlicher Anordnung, aktueller Gläubigerprüfung und namentlicher Freigabe erstellt.</w:t>
      </w:r>
    </w:p>
    <w:sectPr w:rsidR="00FC693F" w:rsidRPr="0006063C" w:rsidSect="00034616">
      <w:pgSz w:w="12240" w:h="15840"/>
      <w:pgMar w:top="1191"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 und Verteilungsvermerk Nachtragsmasse</dc:title>
  <dc:subject>Insolvenzverwaltung</dc:subject>
  <dc:creator>Synthetische Testakte</dc:creator>
  <cp:keywords/>
  <dc:description>generated by python-docx</dc:description>
  <cp:lastModifiedBy/>
  <cp:revision>1</cp:revision>
  <dcterms:created xsi:type="dcterms:W3CDTF">2013-12-23T23:15:00Z</dcterms:created>
  <dcterms:modified xsi:type="dcterms:W3CDTF">2013-12-23T23:15:00Z</dcterms:modified>
  <cp:category/>
</cp:coreProperties>
</file>