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Kanzlei Walburga Fürst | Berliner Straße 91 | 13189 Berlin</w:t>
        <w:br/>
        <w:t>post@fuerst-recht.example | Zeichen: WF 216/26</w:t>
      </w:r>
    </w:p>
    <w:p>
      <w:r>
        <w:t>An das Landgericht Berlin II</w:t>
        <w:br/>
        <w:t>Littenstraße 12–17, 10179 Berlin</w:t>
        <w:br/>
        <w:t>Per besonderem elektronischen Anwaltspostfach</w:t>
      </w:r>
    </w:p>
    <w:p>
      <w:pPr>
        <w:pStyle w:val="Title"/>
      </w:pPr>
      <w:r>
        <w:t>Klage</w:t>
      </w:r>
    </w:p>
    <w:p>
      <w:r>
        <w:t>22.09.2026</w:t>
      </w:r>
    </w:p>
    <w:p>
      <w:r>
        <w:t>In dem Rechtsstreit des Herrn Gottfried Seidel, Florastraße 78, 13187 Berlin,</w:t>
        <w:br/>
        <w:t>Kläger, Prozessbevollmächtigte: Rechtsanwältin Walburga Fürst, Kanzlei Fürst, Berliner Straße 91, 13189 Berlin,</w:t>
        <w:br/>
        <w:t>gegen die Spreebogen Lichtwerk GmbH, Mühlenstraße 64, 13187 Berlin, vertreten durch die Geschäftsführerin Kunigunde Rabenstein,</w:t>
        <w:br/>
        <w:t>Beklagte, wegen Beschlussanfechtung, vorläufiger Streitwert: 25000 EUR,</w:t>
        <w:br/>
        <w:t>erheben wir namens und in Vollmacht des Klägers Klage.</w:t>
      </w:r>
    </w:p>
    <w:p>
      <w:pPr>
        <w:pStyle w:val="Heading1"/>
      </w:pPr>
      <w:r>
        <w:t>1. Anträge</w:t>
      </w:r>
    </w:p>
    <w:p>
      <w:r>
        <w:t>1.1. Der unter Tagesordnungspunkt 2 in der Gesellschafterversammlung der Beklagten vom 9. September 2026 festgestellte Beschluss, Herrn Gottfried Seidel aus wichtigem Grund mit sofortiger Wirkung als Geschäftsführer abzuberufen, wird für nichtig erklärt.</w:t>
      </w:r>
    </w:p>
    <w:p>
      <w:r>
        <w:t>1.2. Hilfsweise wird festgestellt, dass der vorgenannte Beschluss nichtig ist.</w:t>
      </w:r>
    </w:p>
    <w:p>
      <w:r>
        <w:t>1.3. Die Beklagte trägt die Kosten des Rechtsstreits.</w:t>
      </w:r>
    </w:p>
    <w:p>
      <w:r>
        <w:t>Wir beantragen die Anordnung des schriftlichen Vorverfahrens. Für den Fall der Säumnis werden die gesetzlichen Anträge angekündigt. Die Klage wird elektronisch eingereicht. Der Kläger wendet sich ausschließlich gegen die Organabberufung; Vergütungsansprüche sind nicht Gegenstand dieser Klage.</w:t>
      </w:r>
    </w:p>
    <w:p>
      <w:pPr>
        <w:pStyle w:val="Heading1"/>
      </w:pPr>
      <w:r>
        <w:t>2. Gesellschaft und Bestellung</w:t>
      </w:r>
    </w:p>
    <w:p>
      <w:r>
        <w:t>Der Kläger hat 2019 gemeinsam mit Frau Rabenstein den Betrieb aufgebaut. Er hält den Geschäftsanteil Nr. 2 mit einem Nennbetrag von 8750 EUR, entsprechend 35 Prozent. Frau Rabenstein hält 40 Prozent und Frau Ottilie Heller 25 Prozent des Stammkapitals von 25000 EUR. Der Kläger ist seit Gründung Geschäftsführer für Technik und Einkauf. Frau Rabenstein betreut Vertrieb und Personal. Beide sind einzeln vertretungsberechtigt. Der Gesellschaftsvertrag beschränkt die Abberufung auf einen wichtigen Grund. Der Kläger hat der Gesellschaft weder den Rücken gekehrt noch Betriebsmittel entzogen.</w:t>
      </w:r>
    </w:p>
    <w:p>
      <w:r>
        <w:t>Beweis: Gesellschaftsvertrag vom 18. Juni 2019, Anlage K1; Gesellschafterliste vom selben Tag, Anlage K2; Registerauszug vom 21. September 2026, Anlage K3.</w:t>
      </w:r>
    </w:p>
    <w:p>
      <w:pPr>
        <w:pStyle w:val="Heading1"/>
      </w:pPr>
      <w:r>
        <w:t>3. Einladung und Versammlung</w:t>
      </w:r>
    </w:p>
    <w:p>
      <w:r>
        <w:t>Die Einladung vom 26. August 2026 ging dem Kläger am 28. August per Einschreiben zu. Sie nennt als Grund einer Abberufung eine Zahlung an die Seidel Bühnenservice e.K. und fehlende Einkaufsfreigaben. Der Kläger nahm teil. Frau Heller leitete die Versammlung. Bei Tagesordnungspunkt 2 erklärte der Kläger sein Nein; Frau Rabenstein stimmte dafür. Frau Heller enthielt sich. Anschließend erklärte Frau Heller, die Stimme des Klägers zähle wegen eines wichtigen Grundes nicht, und stellte die Annahme des Antrags fest. Der Kläger widersprach der Zählung und dem Ergebnis noch im Raum. Seine Stellungnahme wurde nicht wörtlich aufgenommen.</w:t>
      </w:r>
    </w:p>
    <w:p>
      <w:r>
        <w:t>Beweis: Einladung nebst Anlage, Anlage K4; Niederschrift vom 9. September 2026, Anlage K5. Frau Ottilie Heller ist unter der Anschrift der Beklagten zu laden.</w:t>
      </w:r>
    </w:p>
    <w:p>
      <w:r>
        <w:t>Der Kläger bekam die vollständige Niederschrift am 11. September 2026 per E-Mail. Er hat weder einer Behandlung außerhalb der angekündigten Gegenstände noch einem Verzicht auf seine Stimme zugestimmt. Die beigefügte Niederschrift wird insoweit als Urkunde vorgelegt, nicht als inhaltlich richtig anerkannt.</w:t>
      </w:r>
    </w:p>
    <w:p>
      <w:pPr>
        <w:pStyle w:val="Heading1"/>
      </w:pPr>
      <w:r>
        <w:t>4. Der Auftrag Lindenhof</w:t>
      </w:r>
    </w:p>
    <w:p>
      <w:r>
        <w:t>Die Seidel Bühnenservice e.K. gehört dem Kläger. Sie hat für den Auftrag des Kulturhauses Lindenhof kurzfristig Material beschafft und sechs gebrauchte Steuergeräte überholt. Die Beklagte konnte die Wiedereröffnung sonst nicht termingerecht bedienen. Frau Rabenstein wusste von der Beauftragung. Am 19. August schrieb sie im betrieblichen Nachrichtenaustausch: „Dann mach das, aber ich brauche die endgültige Zahl.“ Der Kläger verstand dies als Freigabe. Er bestreitet, die Gesellschaft hintergangen zu haben.</w:t>
      </w:r>
    </w:p>
    <w:p>
      <w:r>
        <w:t>Die Rechnung SBS-2026-084 vom 20. August lautet über 18400 EUR brutto. Sie wurde am 21. August bezahlt. Teile des Materials waren am 24. August im Betrieb; der Rest wurde auf der Baustelle eingebaut. Der Kläger nahm an, die vereinbarte Gegenzeichnung könne wegen der Eile nachgereicht werden. Die vorhandene Preisübersicht nannte zunächst 14900 EUR brutto. Der Aufpreis ergab sich aus vier zusätzlichen Arbeitsstunden und einem kurzfristigen Zukauf. Die Rechnung enthält die endgültigen Positionen.</w:t>
      </w:r>
    </w:p>
    <w:p>
      <w:r>
        <w:t>Beweis: Rechnung, Anlage K6; Nachrichtenaustausch, Anlage K7; Zeugnis des Herrn Tassilo Brandt, Werkstattleiter der Beklagten, zu laden über diese. Eine schriftliche Auftragserteilung an die Einzelfirma ist dem Kläger derzeit nicht zugänglich. Die Geschäftsführung hat seinen Zugang zur Einkaufsablage gesperrt. Der Kläger bittet um Vorlage der vollständigen Nachrichtendatei und der Wareneingangsbuchung.</w:t>
      </w:r>
    </w:p>
    <w:p>
      <w:pPr>
        <w:pStyle w:val="Heading1"/>
      </w:pPr>
      <w:r>
        <w:t>5. Ablauf und Einwände</w:t>
      </w:r>
    </w:p>
    <w:p>
      <w:r>
        <w:t>Der Kläger hat Frau Rabenstein am 24. August mündlich auf die Zahlung hingewiesen. Am 27. August erhielt er eine schriftliche Beanstandung. Seine schriftliche Antwort vom 31. August erläutert den Zeitdruck und bietet eine gemeinsame Durchsicht der Belege an. Ein Gespräch fand vor der Versammlung nicht statt. Die Beklagte hatte nach seiner Wahrnehmung sämtliche Geräte, Kabel und Leistungen erhalten. Ein finanzieller Schaden ist nicht dargelegt. Die Beklagte verkürzt die Angelegenheit auf eine fehlende Gegenzeichnung, obwohl sie den Auftrag wirtschaftlich wollte.</w:t>
      </w:r>
    </w:p>
    <w:p>
      <w:r>
        <w:t>Beweis: Beanstandung vom 27. August und Antwort vom 31. August, Anlagen K8 und K9. Für die Mitteilung am 24. August wird Parteivernehmung angeboten; ein unabhängiger Zeuge war nicht anwesend.</w:t>
      </w:r>
    </w:p>
    <w:p>
      <w:r>
        <w:t>Die behaupteten älteren Freigabeverstöße wurden bei der Versammlung nicht konkret benannt. Eine Zahlungsaufforderung auf Rückerstattung liegt nicht vor. Der Kläger ist bereit, den unklaren Mehrbetrag anhand von Stundenaufzeichnungen aufzuklären. Er erkennt eine Pflichtverletzung dadurch nicht an.</w:t>
      </w:r>
    </w:p>
    <w:p>
      <w:pPr>
        <w:pStyle w:val="Heading1"/>
      </w:pPr>
      <w:r>
        <w:t>6. Rechtliche Begründung</w:t>
      </w:r>
    </w:p>
    <w:p>
      <w:r>
        <w:t>Die Beklagte muss die in ihrer Satzung vorausgesetzten Tatsachen eines wichtigen Grundes darlegen. Ein bloßer Vertrauensverlust aus dem Streit der Gesellschafter genügt nach Auffassung des Klägers nicht. Maßgeblich ist der tatsächliche Sachverhalt bei Beschlussfassung; dazu wird auf BGH, Urteil vom 4. April 2017, II ZR 77/16, Randnummern 9 bis 17, verwiesen. Der Kläger beruft sich auf Paragraf 38 Absatz 2 GmbHG und Ziffer 5.3 des Gesellschaftsvertrags.</w:t>
      </w:r>
    </w:p>
    <w:p>
      <w:r>
        <w:t>Die Berufung auf ein Stimmverbot ersetzt keinen Nachweis. Außerdem bestreitet der Kläger, dass die Verfahrensleitung einen abschließenden Feststellungsauftrag besaß. Die Satzungsfrist wird durch die vorliegende Klage gewahrt. Der Gerichtskostenvorschuss wird nach Zugang der Kostenrechnung unverzüglich geleistet.</w:t>
      </w:r>
    </w:p>
    <w:p>
      <w:pPr>
        <w:pStyle w:val="Heading1"/>
      </w:pPr>
      <w:r>
        <w:t>7. Anlagen und Abschluss</w:t>
      </w:r>
    </w:p>
    <w:p>
      <w:r>
        <w:t>K1 Gesellschaftsvertrag; K2 Gesellschafterliste; K3 Registerauszug; K4 Einladung; K5 Niederschrift; K6 Rechnung SBS-2026-084; K7 Nachrichtenverlauf; K8 Beanstandung; K9 Antwort Seidel. Diese Unterlagen sind der Klage als gesonderte Dateien beigefügt.</w:t>
      </w:r>
    </w:p>
    <w:p>
      <w:r>
        <w:t>Walburga Fürst</w:t>
        <w:br/>
        <w:t>Rechtsanwältin</w:t>
        <w:br/>
        <w:t>Übermittlung aus dem eigenen besonderen elektronischen Anwaltspostfach</w:t>
      </w:r>
    </w:p>
    <w:sectPr w:rsidR="00FC693F" w:rsidRPr="0006063C" w:rsidSect="00034616">
      <w:footerReference w:type="default" r:id="rId9"/>
      <w:pgSz w:w="11906" w:h="16838"/>
      <w:pgMar w:top="1191" w:right="1304" w:bottom="1191"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9"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80" w:after="100" w:line="269" w:lineRule="auto"/>
      <w:outlineLvl w:val="0"/>
    </w:pPr>
    <w:rPr>
      <w:rFonts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widowControl/>
      <w:spacing w:before="200" w:after="140" w:line="269" w:lineRule="auto"/>
      <w:outlineLvl w:val="1"/>
    </w:pPr>
    <w:rPr>
      <w:rFonts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b/>
      <w:bCs/>
      <w:color w:val="4F81BD" w:themeColor="accent1"/>
    </w:rPr>
  </w:style>
  <w:style w:type="paragraph" w:styleId="Title">
    <w:name w:val="Title"/>
    <w:basedOn w:val="Normal"/>
    <w:next w:val="Normal"/>
    <w:link w:val="TitleChar"/>
    <w:uiPriority w:val="10"/>
    <w:qFormat/>
    <w:rsid w:val="00FC693F"/>
    <w:pPr>
      <w:keepNext/>
      <w:widowControl/>
      <w:spacing w:after="140" w:line="269" w:lineRule="auto"/>
      <w:contextualSpacing/>
    </w:pPr>
    <w:rPr>
      <w:rFonts w:ascii="Times New Roman" w:hAnsi="Times New Roman"/>
      <w:color w:val="000000"/>
      <w:spacing w:val="5"/>
      <w:kern w:val="28"/>
      <w:sz w:val="34"/>
      <w:szCs w:val="52"/>
    </w:rPr>
  </w:style>
  <w:style w:type="character" w:customStyle="1" w:styleId="TitleChar">
    <w:name w:val="Title Char"/>
    <w:basedOn w:val="DefaultParagraphFont"/>
    <w:link w:val="Title"/>
    <w:uiPriority w:val="10"/>
    <w:rsid w:val="00FC693F"/>
    <w:rPr>
      <w:rFonts w:ascii="Times New Roman" w:hAnsi="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b/>
        <w:bCs/>
      </w:rPr>
    </w:tblStylePr>
    <w:tblStylePr w:type="lastCol">
      <w:rPr>
        <w:rFonts w:ascii="Times New Roman" w:hAnsi="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b/>
        <w:bCs/>
      </w:rPr>
    </w:tblStylePr>
    <w:tblStylePr w:type="lastCol">
      <w:rPr>
        <w:rFonts w:ascii="Times New Roman" w:hAnsi="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b/>
        <w:bCs/>
      </w:rPr>
    </w:tblStylePr>
    <w:tblStylePr w:type="lastCol">
      <w:rPr>
        <w:rFonts w:ascii="Times New Roman" w:hAnsi="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b/>
        <w:bCs/>
      </w:rPr>
    </w:tblStylePr>
    <w:tblStylePr w:type="lastCol">
      <w:rPr>
        <w:rFonts w:ascii="Times New Roman" w:hAnsi="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b/>
        <w:bCs/>
      </w:rPr>
    </w:tblStylePr>
    <w:tblStylePr w:type="lastCol">
      <w:rPr>
        <w:rFonts w:ascii="Times New Roman" w:hAnsi="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b/>
        <w:bCs/>
      </w:rPr>
    </w:tblStylePr>
    <w:tblStylePr w:type="lastCol">
      <w:rPr>
        <w:rFonts w:ascii="Times New Roman" w:hAnsi="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b/>
        <w:bCs/>
      </w:rPr>
    </w:tblStylePr>
    <w:tblStylePr w:type="lastCol">
      <w:rPr>
        <w:rFonts w:ascii="Times New Roman" w:hAnsi="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Klage</dc:title>
  <dc:subject/>
  <dc:creator>Kanzlei Walburga Fürst | Berliner Straße 91 | 13189 Berlin
post@fuerst-recht.example | Zeichen: WF 216/26</dc:creator>
  <cp:keywords/>
  <dc:description>generated by python-docx</dc:description>
  <cp:lastModifiedBy/>
  <cp:revision>1</cp:revision>
  <dcterms:created xsi:type="dcterms:W3CDTF">2026-10-01T09:00:00Z</dcterms:created>
  <dcterms:modified xsi:type="dcterms:W3CDTF">2026-10-01T09:00:00Z</dcterms:modified>
  <cp:category/>
</cp:coreProperties>
</file>