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Gesellschaftsvertrag der Spreebogen Lichtwerk GmbH</w:t>
      </w:r>
    </w:p>
    <w:p>
      <w:r>
        <w:t>18.06.2019</w:t>
      </w:r>
    </w:p>
    <w:p>
      <w:r>
        <w:t>Arbeitsabschrift der Urkunde UR-Nr. 218/2019 des Notars Dr. Ruprecht Greiner in Berlin. Die Gesellschafter bestätigten am 21.09.2026 gegenüber der Buchhaltung, dass keine spätere Satzungsänderung vorliegt.</w:t>
      </w:r>
    </w:p>
    <w:p>
      <w:pPr>
        <w:pStyle w:val="Heading1"/>
      </w:pPr>
      <w:r>
        <w:t>1. Firma, Sitz und Geschäftsjahr</w:t>
      </w:r>
    </w:p>
    <w:p>
      <w:r>
        <w:t>1.1. Die Firma lautet Spreebogen Lichtwerk GmbH. Sitz ist Berlin. Geschäftsjahr ist das Kalenderjahr. Die Gesellschaft wird auf unbestimmte Zeit errichtet.</w:t>
      </w:r>
    </w:p>
    <w:p>
      <w:r>
        <w:t>1.2. Gegenstand ist die Planung, Montage und Wartung von Beleuchtungs- und Steuerungstechnik für Bühnen und Veranstaltungsräume sowie der Handel mit zugehörigem Material. Genehmigungspflichtige Tätigkeiten werden erst nach Erteilung der erforderlichen Erlaubnisse ausgeübt.</w:t>
      </w:r>
    </w:p>
    <w:p>
      <w:pPr>
        <w:pStyle w:val="Heading1"/>
      </w:pPr>
      <w:r>
        <w:t>2. Stammkapital und Einlagen</w:t>
      </w:r>
    </w:p>
    <w:p>
      <w:r>
        <w:t>Das Stammkapital beträgt 25000 EUR. Kunigunde Rabenstein übernimmt Anteil Nr. 1 zu 10000 EUR, Gottfried Seidel Anteil Nr. 2 zu 8750 EUR und Ottilie Heller Anteil Nr. 3 zu 6250 EUR. Alle Einlagen sind in Geld zu erbringen. Eine Nachschusspflicht besteht nicht. Die Gesellschaft trägt Gründungskosten bis zu 1800 EUR.</w:t>
      </w:r>
    </w:p>
    <w:p>
      <w:pPr>
        <w:pStyle w:val="Heading1"/>
      </w:pPr>
      <w:r>
        <w:t>3. Geschäftsführung und Vertretung</w:t>
      </w:r>
    </w:p>
    <w:p>
      <w:r>
        <w:t>3.1. Die Gesellschaft hat einen oder mehrere Geschäftsführer. Ist nur ein Geschäftsführer bestellt, vertritt er allein. Sind mehrere bestellt, vertreten zwei gemeinsam oder einer mit einem Prokuristen. Die Gesellschafterversammlung kann Einzelvertretungsbefugnis erteilen und von den Beschränkungen des Paragrafen 181 BGB befreien.</w:t>
      </w:r>
    </w:p>
    <w:p>
      <w:r>
        <w:t>3.2. Kunigunde Rabenstein und Gottfried Seidel werden zu Geschäftsführern bestellt. Ihnen wird jeweils Einzelvertretungsbefugnis erteilt. Eine Befreiung von Paragraf 181 BGB wird bei Gründung nicht erteilt.</w:t>
      </w:r>
    </w:p>
    <w:p>
      <w:r>
        <w:t>3.3. Die Gesellschafterversammlung kann eine Geschäftsordnung beschließen. Intern bedürfen Erwerb und Veräußerung von Grundstücken, Aufnahme von Krediten über 50000 EUR sowie Geschäfte mit Gesellschaftern oder von ihnen beherrschten Unternehmen der vorherigen Zustimmung der Gesellschafterversammlung. Die gesetzliche Außenvertretung bleibt unberührt.</w:t>
      </w:r>
    </w:p>
    <w:p>
      <w:pPr>
        <w:pStyle w:val="Heading1"/>
      </w:pPr>
      <w:r>
        <w:t>4. Einberufung und Beschlussfassung</w:t>
      </w:r>
    </w:p>
    <w:p>
      <w:r>
        <w:t>4.1. Jeder Geschäftsführer darf eine Gesellschafterversammlung einberufen. Die Einladung erfolgt durch eingeschriebenen Brief an die zuletzt mitgeteilte Anschrift mit einer Frist von mindestens zehn Kalendertagen; Versand- und Versammlungstag werden nicht mitgerechnet. Die Tagesordnung ist beizufügen. Bei einer Abberufung aus wichtigem Grund sind die wesentlichen tatsächlichen Vorwürfe anzugeben.</w:t>
      </w:r>
    </w:p>
    <w:p>
      <w:r>
        <w:t>4.2. Die Versammlung ist beschlussfähig, wenn mehr als die Hälfte des Stammkapitals vertreten ist. Jeder volle Euro eines Geschäftsanteils gewährt eine Stimme. Einfache Beschlüsse bedürfen der Mehrheit der gültig abgegebenen Stimmen, soweit zwingendes Recht oder dieser Vertrag keine größere Mehrheit verlangen. Enthaltungen gelten nicht als abgegebene Stimmen.</w:t>
      </w:r>
    </w:p>
    <w:p>
      <w:r>
        <w:t>4.3. Zum Versammlungsleiter wählen die anwesenden Gesellschafter mit einfacher Mehrheit eine Person. Der Leiter darf das Abstimmungsergebnis und die Annahme oder Ablehnung eines Antrags feststellen. Die Niederschrift muss Anträge, abgegebene Stimmen, nicht berücksichtigte Stimmen, Widersprüche und Ergebnis enthalten. Sie ist vom Leiter zu unterzeichnen und sämtlichen Gesellschaftern unverzüglich zu übermitteln.</w:t>
      </w:r>
    </w:p>
    <w:p>
      <w:r>
        <w:t>4.4. Die Vertretung durch einen anderen Gesellschafter, Rechtsanwalt oder Steuerberater ist mit Vollmacht in Textform zulässig. Beschlüsse außerhalb einer Versammlung setzen das gesetzlich erforderliche Einverständnis voraus. Gesetzliche Informationsrechte bleiben unberührt.</w:t>
      </w:r>
    </w:p>
    <w:p>
      <w:pPr>
        <w:pStyle w:val="Heading1"/>
      </w:pPr>
      <w:r>
        <w:t>5. Bestellung und Abberufung</w:t>
      </w:r>
    </w:p>
    <w:p>
      <w:r>
        <w:t>5.1. Bestellung, Vergütung und Anstellungsvertrag der Geschäftsführer werden durch Gesellschafterbeschluss geregelt. Organstellung und Anstellungsvertrag sind selbständig.</w:t>
      </w:r>
    </w:p>
    <w:p>
      <w:r>
        <w:t>5.2. Über Maßnahmen gegenüber einem Geschäftsführer wird für jeden Beschlussgegenstand gesondert abgestimmt. Die Beurteilung eines gesetzlichen Stimmverbots wird in der Niederschrift festgehalten.</w:t>
      </w:r>
    </w:p>
    <w:p>
      <w:r>
        <w:t>5.3. Die Abberufung eines Geschäftsführers ist nur bei Vorliegen eines wichtigen Grundes zulässig. Über seinen Anstellungsvertrag ist gesondert zu entscheiden. Die Abberufung allein beendet diesen Vertrag nicht.</w:t>
      </w:r>
    </w:p>
    <w:p>
      <w:pPr>
        <w:pStyle w:val="Heading1"/>
      </w:pPr>
      <w:r>
        <w:t>6. Jahresabschluss und Ergebnis</w:t>
      </w:r>
    </w:p>
    <w:p>
      <w:r>
        <w:t>Die Geschäftsführung legt den Jahresabschluss mit einem Vorschlag zur Ergebnisverwendung innerhalb der gesetzlichen Fristen vor. Ausschüttungen erfolgen nach Verhältnis der Nennbeträge und nur auf Grundlage eines Gesellschafterbeschlusses unter Wahrung der Kapitalerhaltung. Abschlagszahlungen bedürfen eines gesonderten Beschlusses.</w:t>
      </w:r>
    </w:p>
    <w:p>
      <w:pPr>
        <w:pStyle w:val="Heading1"/>
      </w:pPr>
      <w:r>
        <w:t>7. Geschäftsanteile und Ausscheiden</w:t>
      </w:r>
    </w:p>
    <w:p>
      <w:r>
        <w:t>Abtretung und Verpfändung von Geschäftsanteilen bedürfen der Zustimmung der Gesellschafterversammlung mit 75 Prozent der abgegebenen Stimmen. Gesetzliche Formvorschriften bleiben unberührt. Im Todesfall gehen Anteile auf Erben über; mehrere Erben benennen einen gemeinsamen Vertreter. Ein allgemeines Recht zur Einziehung gegen den Willen des Inhabers wird nicht vereinbart.</w:t>
      </w:r>
    </w:p>
    <w:p>
      <w:pPr>
        <w:pStyle w:val="Heading1"/>
      </w:pPr>
      <w:r>
        <w:t>8. Beschlussstreitigkeiten und Schlussbestimmungen</w:t>
      </w:r>
    </w:p>
    <w:p>
      <w:r>
        <w:t>8.1. Klagen gegen festgestellte Gesellschafterbeschlüsse sind binnen eines Monats ab Zugang der Niederschrift gegen die Gesellschaft zu erheben. Bei Teilnahme und ausdrücklicher Ergebnisfeststellung beginnt die Frist mit der Versammlung. Zwingende gesetzliche Regeln bleiben unberührt. Eine Schiedsvereinbarung wird nicht getroffen.</w:t>
      </w:r>
    </w:p>
    <w:p>
      <w:r>
        <w:t>8.2. Bekanntmachungen erfolgen in den gesetzlich vorgesehenen Medien. Vertragsänderungen bedürfen der gesetzlichen Form. Für den Fall der Unwirksamkeit einer Bestimmung vereinbaren die Gesellschafter, über eine wirksame, ihrem wirtschaftlichen Zweck möglichst nahekommende Regelung zu verhandeln; eine automatische ersetzende Regelung wird nicht fingiert.</w:t>
      </w:r>
    </w:p>
    <w:p>
      <w:r>
        <w:t>Kunigunde Rabenstein / Gottfried Seidel / Ottilie Heller</w:t>
        <w:br/>
        <w:t>Namenswiedergabe aus der bei der Buchhaltung abgelegten Abschrift.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Gesellschaftsvertrag der Spreebogen Lichtwerk GmbH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