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Niederschrift der Gesellschafterversammlung</w:t>
      </w:r>
    </w:p>
    <w:p>
      <w:r>
        <w:t>09.09.2026</w:t>
      </w:r>
    </w:p>
    <w:p>
      <w:r>
        <w:t>Ort: Mühlenstraße 64, Berlin. Beginn 10:02 Uhr, Ende 11:18 Uhr. Anwesend: Kunigunde Rabenstein mit 10000 Stimmen, Gottfried Seidel mit 8750 Stimmen und Ottilie Heller mit 6250 Stimmen. Das gesamte Stammkapital ist vertreten. Kein anwaltlicher Begleiter. Die Einladungsbelege liegen vor.</w:t>
      </w:r>
    </w:p>
    <w:p>
      <w:pPr>
        <w:pStyle w:val="Heading1"/>
      </w:pPr>
      <w:r>
        <w:t>1. Leitung</w:t>
      </w:r>
    </w:p>
    <w:p>
      <w:r>
        <w:t>Frau Heller wird mit allen 25000 Stimmen zur Versammlungsleiterin gewählt. Sie nimmt die Wahl an und führt die Niederschrift. Herr Seidel bittet, seinen Widerspruch zu jedem gegen ihn gerichteten Beschluss aufzunehmen. Frau Heller erklärt, sie werde die Wortmeldungen zusammenfassen, nicht stenografisch aufnehmen.</w:t>
      </w:r>
    </w:p>
    <w:p>
      <w:pPr>
        <w:pStyle w:val="Heading1"/>
      </w:pPr>
      <w:r>
        <w:t>2. Aussprache zur Abberufung</w:t>
      </w:r>
    </w:p>
    <w:p>
      <w:r>
        <w:t>Frau Rabenstein verweist auf die Rechnung von 18400 EUR und die Geschäftsordnung. Sie erklärt, dass keine Zustimmung aller Gesellschafter eingeholt worden sei. Sie habe ein weiteres Angebot und den endgültigen Betrag sehen wollen. Die Überweisung sei dennoch erfolgt. Sie halte es nicht mehr für vertretbar, Herrn Seidel weiterhin allein Einkaufsverpflichtungen eingehen zu lassen.</w:t>
      </w:r>
    </w:p>
    <w:p>
      <w:r>
        <w:t>Herr Seidel erklärt, der Lieferant habe auf sofortiger Zahlung bestanden. Er habe die Ware zum Teil über seine Einzelfirma beschafft und den Auftrag retten müssen. Die Nachricht „Dann mach das“ habe er als Freigabe verstanden. Er könne die fehlenden Nachweise bis Ende September vervollständigen. Auf Nachfrage, wer für die GmbH den Auftrag an seine Einzelfirma erteilt habe, antwortet er: „Das habe ich erledigt. Sonst wäre es liegen geblieben.“ Er bestreitet eine persönliche Bereicherung.</w:t>
      </w:r>
    </w:p>
    <w:p>
      <w:r>
        <w:t>Frau Heller berichtet, am 24.08. seien vier Geräte eingegangen. Über zwei weitere Geräte und die Montagezeiten habe sie bis heute nur die Angaben von Herrn Seidel. Sie enthält sich einer Bewertung, weil sie auf der Baustelle nicht anwesend war. Sie hält fest, dass Herr Seidel der Vorlage einer Rückzahlungserklärung nicht zustimmt; eine solche Erklärung war kein Tagesordnungspunkt.</w:t>
      </w:r>
    </w:p>
    <w:p>
      <w:pPr>
        <w:pStyle w:val="Heading1"/>
      </w:pPr>
      <w:r>
        <w:t>3. Abstimmung und Feststellung</w:t>
      </w:r>
    </w:p>
    <w:p>
      <w:r>
        <w:t>Zur Abstimmung steht genau der Antrag aus der Einladung: Abberufung von Herrn Gottfried Seidel aus wichtigem Grund mit sofortiger Wirkung. Frau Rabenstein stimmt mit 10000 Stimmen Ja. Herr Seidel erklärt mit 8750 Stimmen Nein. Frau Heller enthält sich mit 6250 Stimmen.</w:t>
      </w:r>
    </w:p>
    <w:p>
      <w:r>
        <w:t>Frau Heller berücksichtigt die Nein-Stimmen von Herrn Seidel nicht; sie nennt als Grund seine Betroffenheit von der Abberufung aus wichtigem Grund. Sie stellt den Antrag mit 10000 Ja-Stimmen und ohne berücksichtigte Nein-Stimme als angenommen fest. Herr Seidel widerspricht ausdrücklich seinem Stimmrechtsausschluss, der Feststellung und der Abberufung. Er erklärt, es fehle der wichtige Grund. Auf seinen Wunsch wird dieser Widerspruch aufgenommen.</w:t>
      </w:r>
    </w:p>
    <w:p>
      <w:pPr>
        <w:pStyle w:val="Heading1"/>
      </w:pPr>
      <w:r>
        <w:t>4. Weitere Erklärungen</w:t>
      </w:r>
    </w:p>
    <w:p>
      <w:r>
        <w:t>Über den Anstellungsvertrag wird nicht abgestimmt. Es wird kein Schadensersatzbeschluss gefasst. Frau Rabenstein kündigt an, den Notar mit der Registeranmeldung zu befassen. Herr Seidel verlangt, den laufenden Lindenhof-Auftrag weiter technisch begleiten zu dürfen. Eine Vereinbarung darüber kommt nicht zustande. Die Unterlagen sollen gesichert bleiben; Frau Heller soll Kopien herausgeben, wenn Herr Seidel konkrete Belege benennt.</w:t>
      </w:r>
    </w:p>
    <w:p>
      <w:r>
        <w:t>Ottilie Heller, Versammlungsleiterin</w:t>
        <w:br/>
        <w:t>Niederschrift erstellt am 10.09.2026. Versand an alle drei Gesellschafter am 11.09.2026, 08:25 Uhr. Namenswiedergabe der unterschriebenen Papierfassung.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Gesellschafterversammlung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