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Geschäftsordnung und Einkaufsfreigaben</w:t>
      </w:r>
    </w:p>
    <w:p>
      <w:r>
        <w:t>10.01.2025</w:t>
      </w:r>
    </w:p>
    <w:p>
      <w:r>
        <w:t>Beschlossen von sämtlichen Gesellschaftern der Spreebogen Lichtwerk GmbH am 10.01.2025; Zustimmung jeweils persönlich erklärt. Diese Geschäftsordnung regelt das Innenverhältnis und ändert nicht den Gesellschaftsvertrag.</w:t>
      </w:r>
    </w:p>
    <w:p>
      <w:pPr>
        <w:pStyle w:val="Heading1"/>
      </w:pPr>
      <w:r>
        <w:t>1. Ressorts</w:t>
      </w:r>
    </w:p>
    <w:p>
      <w:r>
        <w:t>Kunigunde Rabenstein führt Vertrieb, Personal und die laufende Liquiditätsübersicht. Gottfried Seidel führt Technik, Materialeinkauf und Baustellenkoordination. Beide berichten einander wöchentlich über Bestellungen, Beanstandungen und Zahlungspflichten. Die Geschäftsführung bleibt gemeinsam für den Überblick über die Gesellschaft verantwortlich.</w:t>
      </w:r>
    </w:p>
    <w:p>
      <w:pPr>
        <w:pStyle w:val="Heading1"/>
      </w:pPr>
      <w:r>
        <w:t>2. Bestellungen und Zahlungen</w:t>
      </w:r>
    </w:p>
    <w:p>
      <w:r>
        <w:t>Einzelbestellungen über 10000 EUR brutto sind vor Beauftragung dem jeweils anderen Geschäftsführer mit Leistungsumfang, Preis, Liefertermin und Vergleichsangebot vorzulegen. Die Zustimmung ist in Textform in der Projektablage zu sichern. Zahlungen über dieser Grenze dürfen erst nach entsprechender Freigabe ausgelöst werden. Die technisch eingerichtete Einzelberechtigung im Bankportal bleibt bestehen, begründet aber keine interne Freigabe.</w:t>
      </w:r>
    </w:p>
    <w:p>
      <w:r>
        <w:t>Bei einer unmittelbaren Gefahr für Personen oder drohendem erheblichen Sachschaden darf ein Geschäftsführer erforderliche Sofortmaßnahmen veranlassen. Er muss den anderen noch am selben Tag unterrichten. Ein nur drohender Terminverlust gegenüber Kunden ersetzt die Freigabe nicht. Die Satzungsregel für Geschäfte mit Gesellschaftern oder deren Unternehmen bleibt uneingeschränkt bestehen.</w:t>
      </w:r>
    </w:p>
    <w:p>
      <w:pPr>
        <w:pStyle w:val="Heading1"/>
      </w:pPr>
      <w:r>
        <w:t>3. Nachweise</w:t>
      </w:r>
    </w:p>
    <w:p>
      <w:r>
        <w:t>Wareneingänge werden durch den Werkstattleiter anhand von Stückzahl und sichtbarem Zustand dokumentiert. Die Buchhaltung gleicht Rechnung, Auftrag und Wareneingang ab. Fehlende Unterlagen sind binnen fünf Arbeitstagen nachzureichen. Ein Lieferbeleg ersetzt keine Preisfreigabe; eine Preisfreigabe ersetzt keinen Lieferbeleg.</w:t>
      </w:r>
    </w:p>
    <w:p>
      <w:pPr>
        <w:pStyle w:val="Heading1"/>
      </w:pPr>
      <w:r>
        <w:t>4. Laufende Kontrolle</w:t>
      </w:r>
    </w:p>
    <w:p>
      <w:r>
        <w:t>Bei Zweifeln hält die Buchhaltung Rücksprache mit beiden Geschäftsführern, bevor sie selbst eine Zahlung freigibt. Vom Geschäftsführer eigenständig ausgeführte Zahlungen werden im Bankprotokoll mit Nutzerkennung dokumentiert. Die Monatsliste wird allen Gesellschaftern bereitgestellt.</w:t>
      </w:r>
    </w:p>
    <w:p>
      <w:r>
        <w:t>Kunigunde Rabenstein / Gottfried Seidel / Ottilie Heller</w:t>
        <w:br/>
        <w:t>Von allen unterschriebene Ausfertigung in Ordner „Gesellschaft / 2025“.</w:t>
      </w:r>
    </w:p>
    <w:sectPr w:rsidR="00FC693F" w:rsidRPr="0006063C" w:rsidSect="00034616">
      <w:footerReference w:type="default" r:id="rId9"/>
      <w:pgSz w:w="11906" w:h="16838"/>
      <w:pgMar w:top="1191" w:right="1304" w:bottom="1191"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69"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180" w:after="100" w:line="269" w:lineRule="auto"/>
      <w:outlineLvl w:val="0"/>
    </w:pPr>
    <w:rPr>
      <w:rFonts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widowControl/>
      <w:spacing w:before="200" w:after="140" w:line="269" w:lineRule="auto"/>
      <w:outlineLvl w:val="1"/>
    </w:pPr>
    <w:rPr>
      <w:rFonts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b/>
      <w:bCs/>
      <w:color w:val="4F81BD" w:themeColor="accent1"/>
    </w:rPr>
  </w:style>
  <w:style w:type="paragraph" w:styleId="Title">
    <w:name w:val="Title"/>
    <w:basedOn w:val="Normal"/>
    <w:next w:val="Normal"/>
    <w:link w:val="TitleChar"/>
    <w:uiPriority w:val="10"/>
    <w:qFormat/>
    <w:rsid w:val="00FC693F"/>
    <w:pPr>
      <w:keepNext/>
      <w:widowControl/>
      <w:spacing w:after="140" w:line="269" w:lineRule="auto"/>
      <w:contextualSpacing/>
    </w:pPr>
    <w:rPr>
      <w:rFonts w:ascii="Times New Roman" w:hAnsi="Times New Roman"/>
      <w:color w:val="000000"/>
      <w:spacing w:val="5"/>
      <w:kern w:val="28"/>
      <w:sz w:val="34"/>
      <w:szCs w:val="52"/>
    </w:rPr>
  </w:style>
  <w:style w:type="character" w:customStyle="1" w:styleId="TitleChar">
    <w:name w:val="Title Char"/>
    <w:basedOn w:val="DefaultParagraphFont"/>
    <w:link w:val="Title"/>
    <w:uiPriority w:val="10"/>
    <w:rsid w:val="00FC693F"/>
    <w:rPr>
      <w:rFonts w:ascii="Times New Roman" w:hAnsi="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Geschäftsordnung und Einkaufsfreigaben</dc:title>
  <dc:subject/>
  <dc:creator/>
  <cp:keywords/>
  <dc:description>generated by python-docx</dc:description>
  <cp:lastModifiedBy/>
  <cp:revision>1</cp:revision>
  <dcterms:created xsi:type="dcterms:W3CDTF">2026-10-01T09:00:00Z</dcterms:created>
  <dcterms:modified xsi:type="dcterms:W3CDTF">2026-10-01T09:00:00Z</dcterms:modified>
  <cp:category/>
</cp:coreProperties>
</file>