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Telefonvermerk – Ottilie Heller</w:t>
      </w:r>
    </w:p>
    <w:p>
      <w:r>
        <w:t>02.10.2026</w:t>
      </w:r>
    </w:p>
    <w:p>
      <w:r>
        <w:t>Kanzlei Feuchtwanger, Sachbearbeitung Adelbert Feuchtwanger. Gespräch 09:36–09:48 Uhr mit Ottilie Heller, Buchhaltung und Gesellschafterin. Aktenzeichen AF 326/26.</w:t>
      </w:r>
    </w:p>
    <w:p>
      <w:r>
        <w:t>Frau Heller sagt, sie habe die Einladung und die Niederschrift mitverfasst. Sie habe sich bei der Abstimmung enthalten, weil sie die zusätzliche Lieferung nicht beurteilen könne. Sie erinnert sich daran, dass Herr Seidel Nein sagte. Auf Nachfrage: Die Entscheidung, seine Stimme nicht zu zählen, habe sie selbst getroffen. Es habe kein vorheriges anwaltliches Gutachten gegeben. Sie habe Ziffer 4.3 der Satzung vor der Versammlung gelesen.</w:t>
      </w:r>
    </w:p>
    <w:p>
      <w:r>
        <w:t>Die Bankliste enthält nur das Projektkonto. Eine förmliche Freigabe für die SBS-Rechnung hat sie in der digitalen Ablage bis heute nicht gefunden. Sie hat aber den Papierordner „Einkauf August“ noch nicht vollständig durchgesehen. Herr Seidel hatte am 4. September nur zwei Handyfotos eines Kassenbons geschickt; sie konnte Betrag und Aussteller nicht lesen. Sie will die Originale erneut anfordern.</w:t>
      </w:r>
    </w:p>
    <w:p>
      <w:r>
        <w:t>Die Septembervergütung von Herrn Seidel wurde am 30. September über das Lohnkonto gezahlt, nicht über das Projektkonto. Ein Antrag auf einstweiligen Rechtsschutz ist bei der Gesellschaft bis heute nicht eingegangen. Der Briefumschlag zur Klage liegt noch im Büro. Sie bringt ihn zusammen mit dem Originalprotokoll am Montag mit.</w:t>
      </w:r>
    </w:p>
    <w:p>
      <w:r>
        <w:t>Aufgenommen: Dr. Adelbert Feuchtwanger</w:t>
        <w:br/>
        <w:t>Frau Heller bat um Zusendung dieses Vermerks vor einer Verwendung ihres Namens als Zeugin. Eine Bestätigung des Wortlauts liegt noch nicht vor.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 Ottilie Heller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