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Isarwinkel Gerätebau GmbH</w:t>
      </w:r>
    </w:p>
    <w:p>
      <w:r>
        <w:t>15.07.2021</w:t>
      </w:r>
    </w:p>
    <w:p>
      <w:r>
        <w:t>Lesefassung nach der bei der Gesellschaft verwahrten Gründungsurkunde UVZ 1128/2021 des Notars Dr. Fridolin Aichner in München. Keine Satzungsänderung seit Gründung in der Gesellschaftsablage.</w:t>
      </w:r>
    </w:p>
    <w:p>
      <w:pPr>
        <w:pStyle w:val="Heading1"/>
      </w:pPr>
      <w:r>
        <w:t>1. Firma und Tätigkeit</w:t>
      </w:r>
    </w:p>
    <w:p>
      <w:r>
        <w:t>Firma: Isarwinkel Gerätebau GmbH. Sitz: München. Gegenstand: Entwicklung, Bau und Wartung von Messadaptern und Prüfgeräten für Produktionsbetriebe, einschließlich zugehöriger Software und Ersatzteile. Geschäftsjahr ist das Kalenderjahr. Die Gesellschaft ist auf unbestimmte Zeit errichtet.</w:t>
      </w:r>
    </w:p>
    <w:p>
      <w:pPr>
        <w:pStyle w:val="Heading1"/>
      </w:pPr>
      <w:r>
        <w:t>2. Kapital</w:t>
      </w:r>
    </w:p>
    <w:p>
      <w:r>
        <w:t>Das Stammkapital beträgt 25000 EUR. Hildegard Steinlechner übernimmt Geschäftsanteil Nr. 1 zu 15000 EUR. Quirin Rottmayer übernimmt Geschäftsanteil Nr. 2 zu 10000 EUR. Beide Einlagen sind in Geld zu erbringen und sofort vollständig fällig. Eine Nachschusspflicht besteht nicht. Gründungskosten trägt die Gesellschaft bis zu 1800 EUR.</w:t>
      </w:r>
    </w:p>
    <w:p>
      <w:pPr>
        <w:pStyle w:val="Heading1"/>
      </w:pPr>
      <w:r>
        <w:t>3. Geschäftsführung</w:t>
      </w:r>
    </w:p>
    <w:p>
      <w:r>
        <w:t>Die Gesellschaft hat einen oder mehrere Geschäftsführer. Bei nur einem Geschäftsführer vertritt dieser allein. Bei mehreren Geschäftsführern vertreten zwei gemeinsam oder einer zusammen mit einem Prokuristen. Die Gesellschafterversammlung kann Einzelvertretung und Befreiung von den Beschränkungen des Paragrafen 181 BGB erteilen.</w:t>
      </w:r>
    </w:p>
    <w:p>
      <w:r>
        <w:t>Hildegard Steinlechner und Quirin Rottmayer werden bestellt, jeweils einzelvertretungsberechtigt, ohne Befreiung von Paragraf 181 BGB. Die Gesellschafter können eine Geschäftsordnung beschließen. Grundstücksgeschäfte, Kredite über 100000 EUR und die Aufnahme neuer Geschäftsbereiche bedürfen vorheriger Zustimmung der Gesellschafterversammlung. Für laufende Beschaffung besteht keine zusätzliche Betragsgrenze.</w:t>
      </w:r>
    </w:p>
    <w:p>
      <w:pPr>
        <w:pStyle w:val="Heading1"/>
      </w:pPr>
      <w:r>
        <w:t>4. Gesellschafterversammlung</w:t>
      </w:r>
    </w:p>
    <w:p>
      <w:r>
        <w:t>Jeder Geschäftsführer kann durch eingeschriebenen Brief mit Tagesordnung und einer Frist von zwei Wochen einberufen. Versand- und Versammlungstag zählen nicht mit. Die Versammlung ist bei Vertretung von mehr als der Hälfte des Stammkapitals beschlussfähig. Jeder volle Euro eines Geschäftsanteils gewährt eine Stimme. Soweit Gesetz oder Vertrag nichts Abweichendes bestimmen, entscheidet die einfache Mehrheit der abgegebenen Stimmen. Enthaltungen zählen nicht als abgegebene Stimmen. Der gewählte Versammlungsleiter hält Anträge, Stimmen und Ergebnisse in einer Niederschrift fest und sendet sie allen Gesellschaftern zu.</w:t>
      </w:r>
    </w:p>
    <w:p>
      <w:r>
        <w:t>Beschlüsse außerhalb einer Versammlung bedürfen der gesetzlichen Voraussetzungen. Informationsrechte nach Paragraf 51a GmbHG bleiben unberührt. Ein Beirat besteht nicht. Eine Schiedsvereinbarung ist nicht getroffen.</w:t>
      </w:r>
    </w:p>
    <w:p>
      <w:pPr>
        <w:pStyle w:val="Heading1"/>
      </w:pPr>
      <w:r>
        <w:t>5. Jahresabschluss und Ausschüttung</w:t>
      </w:r>
    </w:p>
    <w:p>
      <w:r>
        <w:t>Die Geschäftsführung stellt den Jahresabschluss innerhalb der gesetzlichen Fristen auf. Die Gesellschafter entscheiden über Feststellung und Ergebnisverwendung. Gewinne werden entsprechend den Geschäftsanteilen verteilt. Ausschüttungen dürfen die Kapitalerhaltung nicht beeinträchtigen. Besondere Gewinnvorrechte sind nicht vereinbart.</w:t>
      </w:r>
    </w:p>
    <w:p>
      <w:pPr>
        <w:pStyle w:val="Heading1"/>
      </w:pPr>
      <w:r>
        <w:t>6. Verfügung über Anteile</w:t>
      </w:r>
    </w:p>
    <w:p>
      <w:r>
        <w:t>Abtretung, Verpfändung und Belastung von Anteilen bedürfen eines Gesellschafterbeschlusses mit drei Vierteln der abgegebenen Stimmen. Gesetzliche Formvorschriften bleiben unberührt. Ein schuldrechtliches Vorkaufsrecht und Mitverkaufsrechte sind bisher nicht vereinbart. Erben treten nach den gesetzlichen Regeln ein; mehrere Erben benennen einen gemeinsamen Vertreter.</w:t>
      </w:r>
    </w:p>
    <w:p>
      <w:pPr>
        <w:pStyle w:val="Heading1"/>
      </w:pPr>
      <w:r>
        <w:t>7. Kündigung und Ende</w:t>
      </w:r>
    </w:p>
    <w:p>
      <w:r>
        <w:t>Jeder Gesellschafter kann seine Mitgliedschaft mit zwölf Monaten Frist zum Ende eines Geschäftsjahrs, erstmals zum 31.12.2027, kündigen. Die übrigen Gesellschafter können binnen drei Monaten die Fortsetzung und die Übernahme des Anteils durch sich oder einen Dritten vereinbaren. Kommt eine Übernahmevereinbarung nicht zustande, ist über das weitere Vorgehen zu beschließen. Eine automatische Einziehung oder ein Abfindungsbetrag werden nicht festgelegt.</w:t>
      </w:r>
    </w:p>
    <w:p>
      <w:pPr>
        <w:pStyle w:val="Heading1"/>
      </w:pPr>
      <w:r>
        <w:t>8. Schluss</w:t>
      </w:r>
    </w:p>
    <w:p>
      <w:r>
        <w:t>Satzungsänderungen bedürfen der gesetzlichen Form und Mehrheit. Die Gesellschaft trägt Bekanntmachungen in den gesetzlich vorgeschriebenen Medien. Sollte eine Regelung unwirksam sein, bleiben die übrigen Bestimmungen bestehen, soweit der Vertragszweck dies zulässt; über eine Ersatzregelung ist zu verhandeln.</w:t>
      </w:r>
    </w:p>
    <w:p>
      <w:r>
        <w:t>Hildegard Steinlechner / Quirin Rottmayer</w:t>
        <w:br/>
        <w:t>Namenswiedergabe der unterschriebenen Ausfertigung.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Isarwinkel Gerätebau GmbH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