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Eckpunkte einer Beteiligung</w:t>
      </w:r>
    </w:p>
    <w:p>
      <w:r>
        <w:t>25.09.2026</w:t>
      </w:r>
    </w:p>
    <w:p>
      <w:r>
        <w:t>Isarwinkel Gerätebau GmbH / Albrecht Vogl. Gesprächsstand von Albrecht Vogl, noch nicht unterzeichnet. Die folgenden Punkte sind ein Vorschlag für die Vertragsverhandlung. Es werden hierdurch keine Anteile übernommen und keine Zahlungen fällig.</w:t>
      </w:r>
    </w:p>
    <w:p>
      <w:pPr>
        <w:pStyle w:val="Heading1"/>
      </w:pPr>
      <w:r>
        <w:t>1. Beteiligung und Mittel</w:t>
      </w:r>
    </w:p>
    <w:p>
      <w:r>
        <w:t>Herr Vogl soll 200000 EUR einzahlen. Dafür sollen nach Vollzug 20 Prozent des Stammkapitals auf ihn entfallen. Die Gründer behalten ihre bestehenden Nennbeträge. Nach vorläufiger Rechnung wird ein neuer Geschäftsanteil zu 6250 EUR geschaffen; 193750 EUR entfallen auf das Aufgeld. Sämtliches Geld geht an die Gesellschaft. Einzahlung erst nach abgestimmten, formgerecht abgeschlossenen Unterlagen und Mitteilung des Einzahlungsverfahrens durch das Notariat.</w:t>
      </w:r>
    </w:p>
    <w:p>
      <w:pPr>
        <w:pStyle w:val="Heading1"/>
      </w:pPr>
      <w:r>
        <w:t>2. Informationen und Entscheidungen</w:t>
      </w:r>
    </w:p>
    <w:p>
      <w:r>
        <w:t>Monatlicher Bericht mit Bankbeständen, offenen Forderungen, fälligen Verbindlichkeiten und Auftragsbestand. Budget jeweils bis Mitte Dezember für das Folgejahr. Geschäfte außerhalb des genehmigten Budgets ab 25000 EUR, neue Kreditlinien, Geschäfte mit Gesellschaftern sowie Änderungen der Geschäftsführerbezüge sollen Zustimmung benötigen. Welche Mehrheit gilt, ist noch zu besprechen. Vogl erhält kein eigenes Weisungsrecht gegenüber Beschäftigten.</w:t>
      </w:r>
    </w:p>
    <w:p>
      <w:pPr>
        <w:pStyle w:val="Heading1"/>
      </w:pPr>
      <w:r>
        <w:t>3. Zusammenarbeit</w:t>
      </w:r>
    </w:p>
    <w:p>
      <w:r>
        <w:t>Beide Gründer bleiben tätig. Hildegard führt Vertrieb und Personal, Quirin Entwicklung und Fertigung. Bei Krankheit soll es eine Vertretung geben, keine automatische Sanktion. Kündigt ein Gründer freiwillig seine Mitarbeit, möchte Vogl über dessen Beteiligung sprechen können. Für Tod, dauerhafte Arbeitsunfähigkeit und schweres Fehlverhalten sollen getrennte Regelungen gelten. Bewertung und Zahlungsfristen sind offen.</w:t>
      </w:r>
    </w:p>
    <w:p>
      <w:pPr>
        <w:pStyle w:val="Heading1"/>
      </w:pPr>
      <w:r>
        <w:t>4. Spätere Anteilsbewegungen</w:t>
      </w:r>
    </w:p>
    <w:p>
      <w:r>
        <w:t>Die Gründer sollen ihre Anteile während der ersten drei Jahre nicht ohne Zustimmung verkaufen. Übertragungen innerhalb der Familie und Erbfälle sind gesondert zu behandeln. Vogl wünscht ein Mitverkaufsrecht zu gleichen wirtschaftlichen Bedingungen. Eine Mitverkaufspflicht soll nur greifen, wenn auch seine Mindestinteressen geschützt sind. Die konkrete Schwelle, Gegenleistung und Haftungsbegrenzung stehen nicht fest.</w:t>
      </w:r>
    </w:p>
    <w:p>
      <w:pPr>
        <w:pStyle w:val="Heading1"/>
      </w:pPr>
      <w:r>
        <w:t>5. Schutz des Betriebs</w:t>
      </w:r>
    </w:p>
    <w:p>
      <w:r>
        <w:t>Entwicklungsunterlagen und Software müssen der Gesellschaft für ihre Produkte dauerhaft zur Verfügung stehen. Vogl möchte keine pauschale Zusage über ungeprüfte Rechte. Geheimhaltung soll auch nach Ausscheiden gelten. Der Umgang mit Kundenkontakten und einer anderweitigen gewerblichen Tätigkeit wird konkret verhandelt. Bestehende Tätigkeiten sind offenzulegen.</w:t>
      </w:r>
    </w:p>
    <w:p>
      <w:pPr>
        <w:pStyle w:val="Heading1"/>
      </w:pPr>
      <w:r>
        <w:t>6. Weiteres Vorgehen</w:t>
      </w:r>
    </w:p>
    <w:p>
      <w:r>
        <w:t>Vor einem Notartermin: technische Unterlagen sichten, Bank um Rückmeldung bitten, offenen Punktebogen besprechen. Kosten der Vertragsvorbereitung soll die GmbH tragen, jeder Beteiligte trägt seinen eigenen zusätzlichen Berater. Keine Exklusivität, kein Zwang zum Abschluss. Die Verhandlungen können beendet werden; tatsächlich abgeschlossene gesonderte Vertraulichkeitsabreden bleiben unberührt.</w:t>
      </w:r>
    </w:p>
    <w:p>
      <w:r>
        <w:t>Albrecht Vogl, 25.09.2026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Eckpunkte einer Beteiligung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