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Gesellschaftervereinbarung – Arbeitsstand Quirin</w:t>
      </w:r>
    </w:p>
    <w:p>
      <w:r>
        <w:t>27.09.2026</w:t>
      </w:r>
    </w:p>
    <w:p>
      <w:r>
        <w:t>Zwischen Hildegard Steinlechner, Quirin Rottmayer und Albrecht Vogl, betreffend die Isarwinkel Gerätebau GmbH. Noch nicht abgestimmt. Überarbeitet am Sonntagabend von Quirin nach einem früheren Projektvertrag; offene Stellen sind im Text notiert.</w:t>
      </w:r>
    </w:p>
    <w:p>
      <w:pPr>
        <w:pStyle w:val="Heading1"/>
      </w:pPr>
      <w:r>
        <w:t>1. Beteiligungen</w:t>
      </w:r>
    </w:p>
    <w:p>
      <w:r>
        <w:t>Albrecht zahlt 200000 EUR und erhält 20 Prozent. Hildegard und Quirin bleiben im bisherigen Verhältnis beteiligt. Die Einzahlung soll zum 1. November erfolgen. Ob die 200000 EUR bereits vor Registereintragung vollständig eingezahlt werden, soll das Notariat sagen. Dieses Papier soll keine Registeranmeldung ersetzen.</w:t>
      </w:r>
    </w:p>
    <w:p>
      <w:pPr>
        <w:pStyle w:val="Heading1"/>
      </w:pPr>
      <w:r>
        <w:t>2. Geschäftsleitung</w:t>
      </w:r>
    </w:p>
    <w:p>
      <w:r>
        <w:t>Hildegard und Quirin entscheiden über das Tagesgeschäft allein in ihren Bereichen. Bei wichtigen Sachen müssen alle einverstanden sein. Als wichtig gelten insbesondere Investitionen, neue Mitarbeiter in leitender Funktion, Kredite und Verträge mit Verwandten. Eine Eurogrenze haben wir noch nicht festgelegt. Bei Uneinigkeit stimmen wir nach einer Woche nochmals ab. Bis dahin soll der Betrieb normal weiterlaufen.</w:t>
      </w:r>
    </w:p>
    <w:p>
      <w:pPr>
        <w:pStyle w:val="Heading1"/>
      </w:pPr>
      <w:r>
        <w:t>3. Ausscheiden eines Gründers</w:t>
      </w:r>
    </w:p>
    <w:p>
      <w:r>
        <w:t>Wer nicht mehr für die Firma arbeitet, bietet seinen Anteil den anderen an. Der Preis soll grundsätzlich der Buchwert sein, bei unverschuldeter Krankheit ein fairer Wert. Quirin: „Buchwert“ bitte noch genau ansehen, das habe ich aus dem alten Vertrag übernommen. Bei schwerem Fehlverhalten soll weniger bezahlt werden. Ein Käufer soll drei Jahre Zeit zur Zahlung bekommen. Persönliche Bürgschaften des Ausscheidenden müssen weg, soweit die Bank das mitmacht.</w:t>
      </w:r>
    </w:p>
    <w:p>
      <w:pPr>
        <w:pStyle w:val="Heading1"/>
      </w:pPr>
      <w:r>
        <w:t>4. Verkauf der Firma</w:t>
      </w:r>
    </w:p>
    <w:p>
      <w:r>
        <w:t>Wenn zwei der drei Beteiligten einen Käufer finden, können sie die anderen zum Mitverkauf auffordern. Alle bekommen pro Prozent denselben Preis. Jeder steht für sämtliche Zusicherungen ein. Hildegard wollte hier eine Obergrenze; ich habe noch keinen Text dazu. Bei einem Teilverkauf kann Albrecht nach eigener Wahl mitverkaufen. Ob das auch bei einer Familienübertragung gilt, ist offen.</w:t>
      </w:r>
    </w:p>
    <w:p>
      <w:pPr>
        <w:pStyle w:val="Heading1"/>
      </w:pPr>
      <w:r>
        <w:t>5. Entwicklung und Kunden</w:t>
      </w:r>
    </w:p>
    <w:p>
      <w:r>
        <w:t>Alle Entwicklungen der Gründer gehören der Firma. Bereits bestehende Software ist eingeschlossen. Keiner darf drei Jahre nach seinem Ausscheiden in derselben Branche tätig werden. Für Albrecht soll das nicht gelten, weil er schon andere Firmen betreut. Die Abgrenzung seiner Kundenlisten müssen wir noch ergänzen. Vertrauliche Zeichnungen und Kalkulationen dürfen nicht weitergegeben werden.</w:t>
      </w:r>
    </w:p>
    <w:p>
      <w:pPr>
        <w:pStyle w:val="Heading1"/>
      </w:pPr>
      <w:r>
        <w:t>6. Sonstiges</w:t>
      </w:r>
    </w:p>
    <w:p>
      <w:r>
        <w:t>Änderungen per E-Mail sollen reichen. Falls etwas unwirksam ist, gilt automatisch das wirtschaftlich Gleiche. Diese Vereinbarung soll vor der bisherigen Satzung gelten. Gerichtsstand München. Unterzeichnung nach Freigabe der Beteiligten; bisher keine Unterschrift.</w:t>
      </w:r>
    </w:p>
    <w:p>
      <w:r>
        <w:t>Quirin Rottmayer, Dateistand 27.09.2026, 22:14 Uhr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Gesellschaftervereinbarung – Arbeitsstand Quirin</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