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Geschäftsführer-Anstellungsvertrag</w:t>
      </w:r>
    </w:p>
    <w:p>
      <w:r>
        <w:t>01.08.2021</w:t>
      </w:r>
    </w:p>
    <w:p>
      <w:r>
        <w:t>Zwischen der Isarwinkel Gerätebau GmbH, vertreten für diesen Vertrag durch die mit Gesellschafterbeschluss vom 29.07.2021 ermächtigte Hildegard Steinlechner, und Quirin Rottmayer, München, wird vereinbart:</w:t>
      </w:r>
    </w:p>
    <w:p>
      <w:pPr>
        <w:pStyle w:val="Heading1"/>
      </w:pPr>
      <w:r>
        <w:t>1. Aufgaben und Beginn</w:t>
      </w:r>
    </w:p>
    <w:p>
      <w:r>
        <w:t>Herr Rottmayer übernimmt ab 01.08.2021 die technische Geschäftsführung mit Entwicklung, Fertigung und Einkauf. Die Organbestellung beruht auf gesondertem Beschluss. Er widmet der Gesellschaft seine volle berufliche Arbeitskraft. Nebentätigkeiten sind vor Aufnahme offenzulegen. Die bereits betriebene Pflege seiner privaten Softwarebibliothek „Rottkern“ ist bekannt; eine Nutzung für Dritte bedarf gesonderter Abstimmung.</w:t>
      </w:r>
    </w:p>
    <w:p>
      <w:pPr>
        <w:pStyle w:val="Heading1"/>
      </w:pPr>
      <w:r>
        <w:t>2. Vergütung und Auslagen</w:t>
      </w:r>
    </w:p>
    <w:p>
      <w:r>
        <w:t>Die monatliche Bruttovergütung beträgt 4800 EUR, zahlbar zum Monatsende. Notwendige betriebliche Auslagen werden gegen Beleg ersetzt. Eine Tantieme wird nicht zugesagt. Anpassungen bedürfen eines Gesellschafterbeschlusses und gesonderter Vereinbarung. Das Unternehmen stellt einen Dienstrechner; privates Eigentum an vorhandener Ausrüstung wird hierdurch nicht übertragen.</w:t>
      </w:r>
    </w:p>
    <w:p>
      <w:pPr>
        <w:pStyle w:val="Heading1"/>
      </w:pPr>
      <w:r>
        <w:t>3. Urlaub und Krankheit</w:t>
      </w:r>
    </w:p>
    <w:p>
      <w:r>
        <w:t>Es stehen 30 Arbeitstage Erholungsurlaub pro Kalenderjahr zu. Termine sind mit der weiteren Geschäftsführung abzustimmen. Arbeitsverhinderung und voraussichtliche Dauer sind unverzüglich mitzuteilen. Im Krankheitsfall wird die Vergütung für sechs Wochen fortgezahlt. Die Vertretung wird mit der weiteren Geschäftsführung organisiert. Eine längerfristige Abwesenheit führt nicht automatisch zu einer Übertragung von Geschäftsanteilen.</w:t>
      </w:r>
    </w:p>
    <w:p>
      <w:pPr>
        <w:pStyle w:val="Heading1"/>
      </w:pPr>
      <w:r>
        <w:t>4. Laufzeit</w:t>
      </w:r>
    </w:p>
    <w:p>
      <w:r>
        <w:t>Der Vertrag läuft unbefristet. Er kann mit sechs Monaten Frist zum Quartalsende gekündigt werden. Eine außerordentliche Kündigung aus wichtigem Grund bleibt unberührt. Abberufung und Kündigung sind getrennte Maßnahmen. Ein nachvertragliches Wettbewerbsverbot wird hier nicht vereinbart.</w:t>
      </w:r>
    </w:p>
    <w:p>
      <w:pPr>
        <w:pStyle w:val="Heading1"/>
      </w:pPr>
      <w:r>
        <w:t>5. Unterlagen und Vertraulichkeit</w:t>
      </w:r>
    </w:p>
    <w:p>
      <w:r>
        <w:t>Betriebliche Unterlagen und Zugänge sind geordnet zu führen und bei Vertragsende herauszugeben. Geschäftsgeheimnisse dürfen nicht unbefugt offenbart werden. Gesetzlich zulässige Mitteilungen bleiben unberührt. Über Nutzungsrechte an vorbestehenden Programmen und neuen Entwicklungen soll eine gesonderte Vereinbarung geschlossen werden. Eine solche Vereinbarung wird durch diesen Vertrag nicht ersetzt.</w:t>
      </w:r>
    </w:p>
    <w:p>
      <w:r>
        <w:t>München, 01.08.2021</w:t>
        <w:br/>
        <w:t>Hildegard Steinlechner für die GmbH / Quirin Rottmayer</w:t>
        <w:br/>
        <w:t>Namenswiedergabe der unterschriebenen Ausfertigung.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Geschäftsführer-Anstellungsvertrag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