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01696F"/>
          <w:sz w:val="34"/>
        </w:rPr>
        <w:t>Änderungsmitteilungen und Preisverzeichnis</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Postfachbereitstellung</w:t>
            </w:r>
          </w:p>
        </w:tc>
        <w:tc>
          <w:tcPr>
            <w:tcW w:type="dxa" w:w="7313"/>
            <w:vAlign w:val="top"/>
          </w:tcPr>
          <w:p>
            <w:pPr>
              <w:spacing w:after="20"/>
            </w:pPr>
            <w:r>
              <w:rPr>
                <w:rFonts w:ascii="Arial" w:hAnsi="Arial"/>
                <w:sz w:val="18"/>
              </w:rPr>
              <w:t>18.10.2024 und 02.09.2025</w:t>
            </w:r>
          </w:p>
        </w:tc>
      </w:tr>
      <w:tr>
        <w:tc>
          <w:tcPr>
            <w:tcW w:type="dxa" w:w="1928"/>
            <w:vAlign w:val="top"/>
          </w:tcPr>
          <w:p>
            <w:pPr>
              <w:spacing w:after="20"/>
            </w:pPr>
            <w:r>
              <w:rPr>
                <w:rFonts w:ascii="Arial" w:hAnsi="Arial"/>
                <w:b/>
                <w:color w:val="5C6266"/>
                <w:sz w:val="17"/>
              </w:rPr>
              <w:t>Entgelt ab 2025</w:t>
            </w:r>
          </w:p>
        </w:tc>
        <w:tc>
          <w:tcPr>
            <w:tcW w:type="dxa" w:w="7313"/>
            <w:vAlign w:val="top"/>
          </w:tcPr>
          <w:p>
            <w:pPr>
              <w:spacing w:after="20"/>
            </w:pPr>
            <w:r>
              <w:rPr>
                <w:rFonts w:ascii="Arial" w:hAnsi="Arial"/>
                <w:sz w:val="18"/>
              </w:rPr>
              <w:t>180 EUR jährlich</w:t>
            </w:r>
          </w:p>
        </w:tc>
      </w:tr>
      <w:tr>
        <w:tc>
          <w:tcPr>
            <w:tcW w:type="dxa" w:w="1928"/>
            <w:vAlign w:val="top"/>
          </w:tcPr>
          <w:p>
            <w:pPr>
              <w:spacing w:after="20"/>
            </w:pPr>
            <w:r>
              <w:rPr>
                <w:rFonts w:ascii="Arial" w:hAnsi="Arial"/>
                <w:b/>
                <w:color w:val="5C6266"/>
                <w:sz w:val="17"/>
              </w:rPr>
              <w:t>Haftungsgrenze</w:t>
            </w:r>
          </w:p>
        </w:tc>
        <w:tc>
          <w:tcPr>
            <w:tcW w:type="dxa" w:w="7313"/>
            <w:vAlign w:val="top"/>
          </w:tcPr>
          <w:p>
            <w:pPr>
              <w:spacing w:after="20"/>
            </w:pPr>
            <w:r>
              <w:rPr>
                <w:rFonts w:ascii="Arial" w:hAnsi="Arial"/>
                <w:sz w:val="18"/>
              </w:rPr>
              <w:t>5000 EUR je Schadenfall</w:t>
            </w:r>
          </w:p>
        </w:tc>
      </w:tr>
      <w:tr>
        <w:tc>
          <w:tcPr>
            <w:tcW w:type="dxa" w:w="1928"/>
            <w:vAlign w:val="top"/>
          </w:tcPr>
          <w:p>
            <w:pPr>
              <w:spacing w:after="20"/>
            </w:pPr>
            <w:r>
              <w:rPr>
                <w:rFonts w:ascii="Arial" w:hAnsi="Arial"/>
                <w:b/>
                <w:color w:val="5C6266"/>
                <w:sz w:val="17"/>
              </w:rPr>
              <w:t>Reaktion Kundin</w:t>
            </w:r>
          </w:p>
        </w:tc>
        <w:tc>
          <w:tcPr>
            <w:tcW w:type="dxa" w:w="7313"/>
            <w:vAlign w:val="top"/>
          </w:tcPr>
          <w:p>
            <w:pPr>
              <w:spacing w:after="20"/>
            </w:pPr>
            <w:r>
              <w:rPr>
                <w:rFonts w:ascii="Arial" w:hAnsi="Arial"/>
                <w:sz w:val="18"/>
              </w:rPr>
              <w:t>keine dokumentierte Zustimmung</w:t>
            </w:r>
          </w:p>
        </w:tc>
      </w:tr>
    </w:tbl>
    <w:p>
      <w:pPr>
        <w:spacing w:after="40"/>
      </w:pPr>
    </w:p>
    <w:p>
      <w:pPr>
        <w:pStyle w:val="Heading1"/>
      </w:pPr>
      <w:r>
        <w:t>1. Mitteilung Oktober 2024</w:t>
      </w:r>
    </w:p>
    <w:p>
      <w:pPr>
        <w:widowControl/>
        <w:jc w:val="both"/>
      </w:pPr>
      <w:r>
        <w:t>Die Bank kündigte im Onlinepostfach ein Jahresentgelt von 180 EUR ab 1. Januar 2025 an. Das Schreiben erklärte, die Zustimmung gelte als erteilt, wenn die Kundin nicht bis 15. Dezember widerspreche und das Fach weiter nutze. Helene Falkenberg meldete sich zwischen Oktober und Dezember nicht im Onlinebanking an.</w:t>
      </w:r>
    </w:p>
    <w:p>
      <w:pPr>
        <w:widowControl/>
        <w:jc w:val="both"/>
      </w:pPr>
      <w:r>
        <w:t>Das Entgelt wurde am 3. Januar 2025 vom Girokonto abgebucht. Die Kundin bemerkte die Erhöhung nach eigener Angabe erst in der Jahresübersicht im Februar.</w:t>
      </w:r>
    </w:p>
    <w:p>
      <w:pPr>
        <w:pStyle w:val="Heading1"/>
      </w:pPr>
      <w:r>
        <w:t>2. Bedingungen September 2025</w:t>
      </w:r>
    </w:p>
    <w:p>
      <w:pPr>
        <w:widowControl/>
        <w:jc w:val="both"/>
      </w:pPr>
      <w:r>
        <w:t>Eine weitere Nachricht führte eine Haftungsgrenze von 5000 EUR für Schäden durch Wasser, Feuchtigkeit und technische Störungen ein. Für eine höhere Versicherung sollte der Kunde vor Einlagerung eine Wertmeldung abgeben und 0.4 Prozent des Mehrwerts jährlich zahlen.</w:t>
      </w:r>
    </w:p>
    <w:p>
      <w:pPr>
        <w:widowControl/>
        <w:jc w:val="both"/>
      </w:pPr>
      <w:r>
        <w:t>Die Betreffzeile lautete Aktuelle Informationen zu Ihrer Filiale. In der ersten Bildschirmansicht war die Haftungsgrenze nicht genannt. Das PDF wurde vom System am 2. September eingestellt; ein Öffnungsereignis ist nicht gespeichert.</w:t>
      </w:r>
    </w:p>
    <w:p/>
    <w:p>
      <w:r>
        <w:rPr>
          <w:b/>
        </w:rPr>
        <w:t>Rhein-Main Privatbank AG</w:t>
      </w:r>
    </w:p>
    <w:p>
      <w:r>
        <w:t>Kundenkommunikation</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Rhein-Main Privatbank AG  |  Kundeninformation Schließfach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1696F"/>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01696F"/>
              <w:sz w:val="25"/>
            </w:rPr>
            <w:t>Rhein-Main Privatbank AG</w:t>
          </w:r>
          <w:r>
            <w:rPr>
              <w:rFonts w:ascii="Arial" w:hAnsi="Arial"/>
              <w:color w:val="5C6266"/>
              <w:sz w:val="17"/>
            </w:rPr>
            <w:br/>
            <w:t>Kundeninformation Schließfach</w:t>
          </w:r>
        </w:p>
      </w:tc>
      <w:tc>
        <w:tcPr>
          <w:tcW w:type="dxa" w:w="3742"/>
        </w:tcPr>
        <w:p>
          <w:pPr>
            <w:spacing w:after="0"/>
            <w:jc w:val="right"/>
          </w:pPr>
          <w:r>
            <w:rPr>
              <w:rFonts w:ascii="Arial" w:hAnsi="Arial"/>
              <w:color w:val="5C6266"/>
              <w:sz w:val="15"/>
            </w:rPr>
            <w:t>Große Bleiche 62 · 55116 Mainz</w:t>
            <w:br/>
            <w:t>Telefon 06131 881 0 · service@rheinmain-privatbank.de</w:t>
            <w:br/>
            <w:t>BIC RMPBDE5MXXX</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1696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1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