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40"/>
      </w:pPr>
      <w:r>
        <w:rPr>
          <w:rFonts w:ascii="Arial" w:hAnsi="Arial"/>
          <w:b/>
          <w:color w:val="01696F"/>
          <w:sz w:val="34"/>
        </w:rPr>
        <w:t>Ereignisbericht Schließfachanlage B</w:t>
      </w:r>
    </w:p>
    <w:tbl>
      <w:tblPr>
        <w:tblW w:type="auto" w:w="0"/>
        <w:jc w:val="left"/>
        <w:tblLayout w:type="fixed"/>
        <w:tblLook w:firstColumn="1" w:firstRow="1" w:lastColumn="0" w:lastRow="0" w:noHBand="0" w:noVBand="1" w:val="04A0"/>
      </w:tblPr>
      <w:tblGrid>
        <w:gridCol w:w="4620"/>
        <w:gridCol w:w="4620"/>
      </w:tblGrid>
      <w:tr>
        <w:tc>
          <w:tcPr>
            <w:tcW w:type="dxa" w:w="1928"/>
            <w:vAlign w:val="top"/>
          </w:tcPr>
          <w:p>
            <w:pPr>
              <w:spacing w:after="20"/>
            </w:pPr>
            <w:r>
              <w:rPr>
                <w:rFonts w:ascii="Arial" w:hAnsi="Arial"/>
                <w:b/>
                <w:color w:val="5C6266"/>
                <w:sz w:val="17"/>
              </w:rPr>
              <w:t>Ereignis</w:t>
            </w:r>
          </w:p>
        </w:tc>
        <w:tc>
          <w:tcPr>
            <w:tcW w:type="dxa" w:w="7313"/>
            <w:vAlign w:val="top"/>
          </w:tcPr>
          <w:p>
            <w:pPr>
              <w:spacing w:after="20"/>
            </w:pPr>
            <w:r>
              <w:rPr>
                <w:rFonts w:ascii="Arial" w:hAnsi="Arial"/>
                <w:sz w:val="18"/>
              </w:rPr>
              <w:t>11.04.2026</w:t>
            </w:r>
          </w:p>
        </w:tc>
      </w:tr>
      <w:tr>
        <w:tc>
          <w:tcPr>
            <w:tcW w:type="dxa" w:w="1928"/>
            <w:vAlign w:val="top"/>
          </w:tcPr>
          <w:p>
            <w:pPr>
              <w:spacing w:after="20"/>
            </w:pPr>
            <w:r>
              <w:rPr>
                <w:rFonts w:ascii="Arial" w:hAnsi="Arial"/>
                <w:b/>
                <w:color w:val="5C6266"/>
                <w:sz w:val="17"/>
              </w:rPr>
              <w:t>Feststellung</w:t>
            </w:r>
          </w:p>
        </w:tc>
        <w:tc>
          <w:tcPr>
            <w:tcW w:type="dxa" w:w="7313"/>
            <w:vAlign w:val="top"/>
          </w:tcPr>
          <w:p>
            <w:pPr>
              <w:spacing w:after="20"/>
            </w:pPr>
            <w:r>
              <w:rPr>
                <w:rFonts w:ascii="Arial" w:hAnsi="Arial"/>
                <w:sz w:val="18"/>
              </w:rPr>
              <w:t>06:12 Uhr</w:t>
            </w:r>
          </w:p>
        </w:tc>
      </w:tr>
      <w:tr>
        <w:tc>
          <w:tcPr>
            <w:tcW w:type="dxa" w:w="1928"/>
            <w:vAlign w:val="top"/>
          </w:tcPr>
          <w:p>
            <w:pPr>
              <w:spacing w:after="20"/>
            </w:pPr>
            <w:r>
              <w:rPr>
                <w:rFonts w:ascii="Arial" w:hAnsi="Arial"/>
                <w:b/>
                <w:color w:val="5C6266"/>
                <w:sz w:val="17"/>
              </w:rPr>
              <w:t>Betroffene Fächer</w:t>
            </w:r>
          </w:p>
        </w:tc>
        <w:tc>
          <w:tcPr>
            <w:tcW w:type="dxa" w:w="7313"/>
            <w:vAlign w:val="top"/>
          </w:tcPr>
          <w:p>
            <w:pPr>
              <w:spacing w:after="20"/>
            </w:pPr>
            <w:r>
              <w:rPr>
                <w:rFonts w:ascii="Arial" w:hAnsi="Arial"/>
                <w:sz w:val="18"/>
              </w:rPr>
              <w:t>B-401 bis B-438</w:t>
            </w:r>
          </w:p>
        </w:tc>
      </w:tr>
      <w:tr>
        <w:tc>
          <w:tcPr>
            <w:tcW w:type="dxa" w:w="1928"/>
            <w:vAlign w:val="top"/>
          </w:tcPr>
          <w:p>
            <w:pPr>
              <w:spacing w:after="20"/>
            </w:pPr>
            <w:r>
              <w:rPr>
                <w:rFonts w:ascii="Arial" w:hAnsi="Arial"/>
                <w:b/>
                <w:color w:val="5C6266"/>
                <w:sz w:val="17"/>
              </w:rPr>
              <w:t>Interne Nummer</w:t>
            </w:r>
          </w:p>
        </w:tc>
        <w:tc>
          <w:tcPr>
            <w:tcW w:type="dxa" w:w="7313"/>
            <w:vAlign w:val="top"/>
          </w:tcPr>
          <w:p>
            <w:pPr>
              <w:spacing w:after="20"/>
            </w:pPr>
            <w:r>
              <w:rPr>
                <w:rFonts w:ascii="Arial" w:hAnsi="Arial"/>
                <w:sz w:val="18"/>
              </w:rPr>
              <w:t>FM-MZ-260411</w:t>
            </w:r>
          </w:p>
        </w:tc>
      </w:tr>
    </w:tbl>
    <w:p>
      <w:pPr>
        <w:spacing w:after="40"/>
      </w:pPr>
    </w:p>
    <w:p>
      <w:pPr>
        <w:pStyle w:val="Heading1"/>
      </w:pPr>
      <w:r>
        <w:t>1. Ursache und Verlauf</w:t>
      </w:r>
    </w:p>
    <w:p>
      <w:pPr>
        <w:widowControl/>
        <w:jc w:val="both"/>
      </w:pPr>
      <w:r>
        <w:t>Eine Pressverbindung der Kühlwasserleitung im Deckenbereich löste sich während der Nacht. Wasser trat über etwa 42 Minuten aus und lief an der Rückwand der Schließfachanlage herab. Der Feuchtesensor meldete um 05:51 Uhr; der Sicherheitsdienst betrat den Raum um 06:12 Uhr.</w:t>
      </w:r>
    </w:p>
    <w:p>
      <w:pPr>
        <w:widowControl/>
        <w:jc w:val="both"/>
      </w:pPr>
      <w:r>
        <w:t>Die Fächer B-409 bis B-422 wiesen sichtbare Feuchtigkeit auf. B-417 enthielt eine durchnässte Dokumentenmappe und zwei feuchte Schmuckschatullen. Die Kundin wurde am 11. April um 08:26 Uhr telefonisch erreicht und kam um 10:14 Uhr in die Filiale.</w:t>
      </w:r>
    </w:p>
    <w:p>
      <w:pPr>
        <w:pStyle w:val="Heading1"/>
      </w:pPr>
      <w:r>
        <w:t>2. Sicherung</w:t>
      </w:r>
    </w:p>
    <w:p>
      <w:pPr>
        <w:widowControl/>
        <w:jc w:val="both"/>
      </w:pPr>
      <w:r>
        <w:t>Das Fach wurde gemeinsam geöffnet. Filialleiterin Derya Göbel, Sicherheitsmitarbeiter Karsten Huth und Helene Falkenberg waren anwesend. Gegenstände wurden auf saugfähigem Papier fotografiert und der Kundin in zwei Transportboxen übergeben.</w:t>
      </w:r>
    </w:p>
    <w:p>
      <w:pPr>
        <w:widowControl/>
        <w:jc w:val="both"/>
      </w:pPr>
      <w:r>
        <w:t>Der Installationsbetrieb hatte die Pressverbindung am 18. März bei Wartungsarbeiten gelöst und wieder eingesetzt. Das Wartungsprotokoll enthält keine zweite Sichtkontrolle. Die Bank meldete den Schaden ihrer Sachversicherung am selben Tag.</w:t>
      </w:r>
    </w:p>
    <w:p/>
    <w:p>
      <w:r>
        <w:rPr>
          <w:b/>
        </w:rPr>
        <w:t>Derya Göbel</w:t>
      </w:r>
    </w:p>
    <w:p>
      <w:r>
        <w:t>Filialleiterin</w:t>
      </w:r>
    </w:p>
    <w:sectPr w:rsidR="00FC693F" w:rsidRPr="0006063C" w:rsidSect="00034616">
      <w:headerReference w:type="default" r:id="rId9"/>
      <w:footerReference w:type="default" r:id="rId10"/>
      <w:pgSz w:w="11906" w:h="16838"/>
      <w:pgMar w:top="1332" w:right="1276" w:bottom="1247" w:left="1389" w:header="454"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C6266"/>
        <w:sz w:val="15"/>
      </w:rPr>
      <w:t xml:space="preserve">Rhein-Main Privatbank AG  |  Facility Management und Filialsicherheit  |  Seite </w:t>
    </w: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8" w:space="4" w:color="01696F"/>
      </w:pBdr>
    </w:pPr>
  </w:p>
  <w:tbl>
    <w:tblPr>
      <w:tblW w:type="auto" w:w="0"/>
      <w:jc w:val="left"/>
      <w:tblLayout w:type="fixed"/>
      <w:tblLook w:firstColumn="1" w:firstRow="1" w:lastColumn="0" w:lastRow="0" w:noHBand="0" w:noVBand="1" w:val="04A0"/>
    </w:tblPr>
    <w:tblGrid>
      <w:gridCol w:w="5499"/>
      <w:gridCol w:w="3742"/>
    </w:tblGrid>
    <w:tr>
      <w:tc>
        <w:tcPr>
          <w:tcW w:type="dxa" w:w="5499"/>
        </w:tcPr>
        <w:p>
          <w:pPr>
            <w:spacing w:after="0"/>
          </w:pPr>
          <w:r>
            <w:rPr>
              <w:rFonts w:ascii="Arial" w:hAnsi="Arial"/>
              <w:b/>
              <w:color w:val="01696F"/>
              <w:sz w:val="25"/>
            </w:rPr>
            <w:t>Rhein-Main Privatbank AG</w:t>
          </w:r>
          <w:r>
            <w:rPr>
              <w:rFonts w:ascii="Arial" w:hAnsi="Arial"/>
              <w:color w:val="5C6266"/>
              <w:sz w:val="17"/>
            </w:rPr>
            <w:br/>
            <w:t>Facility Management und Filialsicherheit</w:t>
          </w:r>
        </w:p>
      </w:tc>
      <w:tc>
        <w:tcPr>
          <w:tcW w:type="dxa" w:w="3742"/>
        </w:tcPr>
        <w:p>
          <w:pPr>
            <w:spacing w:after="0"/>
            <w:jc w:val="right"/>
          </w:pPr>
          <w:r>
            <w:rPr>
              <w:rFonts w:ascii="Arial" w:hAnsi="Arial"/>
              <w:color w:val="5C6266"/>
              <w:sz w:val="15"/>
            </w:rPr>
            <w:t>Große Bleiche 62 · 55116 Mainz</w:t>
            <w:br/>
            <w:t>Telefon 06131 881 0 · service@rheinmain-privatbank.de</w:t>
            <w:br/>
            <w:t>BIC RMPBDE5MXXX</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Times New Roman" w:hAnsi="Times New Roman"/>
      <w:b/>
      <w:bCs/>
      <w:color w:val="01696F"/>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Times New Roman" w:hAnsi="Times New Roman"/>
      <w:b/>
      <w:bCs/>
      <w:color w:val="01696F"/>
      <w:sz w:val="24"/>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Times New Roman" w:hAnsi="Times New Roman"/>
      <w:b/>
      <w:bCs/>
      <w:color w:val="01696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