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Antwort auf Mängelanzeige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Ticket</w:t>
            </w:r>
          </w:p>
        </w:tc>
        <w:tc>
          <w:tcPr>
            <w:tcW w:type="dxa" w:w="7313"/>
            <w:vAlign w:val="top"/>
          </w:tcPr>
          <w:p>
            <w:pPr>
              <w:spacing w:after="20"/>
            </w:pPr>
            <w:r>
              <w:rPr>
                <w:rFonts w:ascii="Arial" w:hAnsi="Arial"/>
                <w:sz w:val="18"/>
              </w:rPr>
              <w:t>GS-REK-260619</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22.06.2026</w:t>
            </w:r>
          </w:p>
        </w:tc>
      </w:tr>
      <w:tr>
        <w:tc>
          <w:tcPr>
            <w:tcW w:type="dxa" w:w="1928"/>
            <w:vAlign w:val="top"/>
          </w:tcPr>
          <w:p>
            <w:pPr>
              <w:spacing w:after="20"/>
            </w:pPr>
            <w:r>
              <w:rPr>
                <w:rFonts w:ascii="Arial" w:hAnsi="Arial"/>
                <w:b/>
                <w:color w:val="5C6266"/>
                <w:sz w:val="17"/>
              </w:rPr>
              <w:t>Kunde</w:t>
            </w:r>
          </w:p>
        </w:tc>
        <w:tc>
          <w:tcPr>
            <w:tcW w:type="dxa" w:w="7313"/>
            <w:vAlign w:val="top"/>
          </w:tcPr>
          <w:p>
            <w:pPr>
              <w:spacing w:after="20"/>
            </w:pPr>
            <w:r>
              <w:rPr>
                <w:rFonts w:ascii="Arial" w:hAnsi="Arial"/>
                <w:sz w:val="18"/>
              </w:rPr>
              <w:t>Aydin</w:t>
            </w:r>
          </w:p>
        </w:tc>
      </w:tr>
      <w:tr>
        <w:tc>
          <w:tcPr>
            <w:tcW w:type="dxa" w:w="1928"/>
            <w:vAlign w:val="top"/>
          </w:tcPr>
          <w:p>
            <w:pPr>
              <w:spacing w:after="20"/>
            </w:pPr>
            <w:r>
              <w:rPr>
                <w:rFonts w:ascii="Arial" w:hAnsi="Arial"/>
                <w:b/>
                <w:color w:val="5C6266"/>
                <w:sz w:val="17"/>
              </w:rPr>
              <w:t>Geräte-ID</w:t>
            </w:r>
          </w:p>
        </w:tc>
        <w:tc>
          <w:tcPr>
            <w:tcW w:type="dxa" w:w="7313"/>
            <w:vAlign w:val="top"/>
          </w:tcPr>
          <w:p>
            <w:pPr>
              <w:spacing w:after="20"/>
            </w:pPr>
            <w:r>
              <w:rPr>
                <w:rFonts w:ascii="Arial" w:hAnsi="Arial"/>
                <w:sz w:val="18"/>
              </w:rPr>
              <w:t>MPX2-DE-8841-2097</w:t>
            </w:r>
          </w:p>
        </w:tc>
      </w:tr>
    </w:tbl>
    <w:p>
      <w:pPr>
        <w:spacing w:after="40"/>
      </w:pPr>
    </w:p>
    <w:p>
      <w:pPr>
        <w:pStyle w:val="Heading1"/>
      </w:pPr>
      <w:r>
        <w:t>1. Untersuchung</w:t>
      </w:r>
    </w:p>
    <w:p>
      <w:pPr>
        <w:widowControl/>
        <w:jc w:val="both"/>
      </w:pPr>
      <w:r>
        <w:t>Der Roboter wurde am 19. Juni angenommen. Mechanik, Akku und Ladestation zeigen im Kurztest keine Auffälligkeit. Im Radkasten fanden sich geringe Feuchtigkeit und Erde. Eine Kamerakalibrierung konnte ohne das Grundstück und die Funkbaken nicht abgeschlossen werden.</w:t>
      </w:r>
    </w:p>
    <w:p>
      <w:pPr>
        <w:widowControl/>
        <w:jc w:val="both"/>
      </w:pPr>
      <w:r>
        <w:t>Nach Auskunft des Herstellers wurde Firmware 4.8.2 ordnungsgemäß installiert. Das Serverprotokoll weist eine Abweichung der Funkbake B2 aus. Ob die Bake bewegt, gestört oder durch die Migration falsch zugeordnet wurde, lasse sich in der Werkstatt nicht feststellen.</w:t>
      </w:r>
    </w:p>
    <w:p>
      <w:pPr>
        <w:pStyle w:val="Heading1"/>
      </w:pPr>
      <w:r>
        <w:t>2. Weiteres Vorgehen</w:t>
      </w:r>
    </w:p>
    <w:p>
      <w:pPr>
        <w:widowControl/>
        <w:jc w:val="both"/>
      </w:pPr>
      <w:r>
        <w:t>Wir bieten einen Vor-Ort-Termin zur Neukartierung an. Für eine Rückabwicklung oder Ersatzlieferung sehen wir derzeit keinen Anlass. Die Kosten des Pflanzenbeets können wir ohne Prüfung der Sicherungszonen nicht übernehmen.</w:t>
      </w:r>
    </w:p>
    <w:p>
      <w:pPr>
        <w:widowControl/>
        <w:jc w:val="both"/>
      </w:pPr>
      <w:r>
        <w:t>CloudPlus ist ein Vertrag mit dem Hersteller. Nach unserer Auffassung bleibt die lokale Mähfunktion auch ohne Abo bestehen. Bitte teilen Sie mit, ob Sie den Termin am 30. Juni wahrnehmen.</w:t>
      </w:r>
    </w:p>
    <w:p/>
    <w:p>
      <w:r>
        <w:rPr>
          <w:b/>
        </w:rPr>
        <w:t>Saskia Nolte</w:t>
      </w:r>
    </w:p>
    <w:p>
      <w:r>
        <w:t>Leitung Kundendienst</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Gartenstrom West GmbH  |  Kundendienst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Gartenstrom West GmbH</w:t>
          </w:r>
          <w:r>
            <w:rPr>
              <w:rFonts w:ascii="Arial" w:hAnsi="Arial"/>
              <w:color w:val="5C6266"/>
              <w:sz w:val="17"/>
            </w:rPr>
            <w:br/>
            <w:t>Kundendienst</w:t>
          </w:r>
        </w:p>
      </w:tc>
      <w:tc>
        <w:tcPr>
          <w:tcW w:type="dxa" w:w="3742"/>
        </w:tcPr>
        <w:p>
          <w:pPr>
            <w:spacing w:after="0"/>
            <w:jc w:val="right"/>
          </w:pPr>
          <w:r>
            <w:rPr>
              <w:rFonts w:ascii="Arial" w:hAnsi="Arial"/>
              <w:color w:val="5C6266"/>
              <w:sz w:val="15"/>
            </w:rPr>
            <w:t>Hammer Straße 164 · 48153 Münster</w:t>
            <w:br/>
            <w:t>Telefon 0251 590 47 20 · service@gartenstrom-west.de</w:t>
            <w:br/>
            <w:t>HRB 18804 AG Münster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