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Abrechnung Februar bis Juli 2026</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Kundennummer</w:t>
            </w:r>
          </w:p>
        </w:tc>
        <w:tc>
          <w:tcPr>
            <w:tcW w:type="dxa" w:w="7313"/>
            <w:vAlign w:val="top"/>
          </w:tcPr>
          <w:p>
            <w:pPr>
              <w:spacing w:after="20"/>
            </w:pPr>
            <w:r>
              <w:rPr>
                <w:rFonts w:ascii="Arial" w:hAnsi="Arial"/>
                <w:sz w:val="18"/>
              </w:rPr>
              <w:t>ZB-26-188</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05.08.2026</w:t>
            </w:r>
          </w:p>
        </w:tc>
      </w:tr>
      <w:tr>
        <w:tc>
          <w:tcPr>
            <w:tcW w:type="dxa" w:w="1928"/>
            <w:vAlign w:val="top"/>
          </w:tcPr>
          <w:p>
            <w:pPr>
              <w:spacing w:after="20"/>
            </w:pPr>
            <w:r>
              <w:rPr>
                <w:rFonts w:ascii="Arial" w:hAnsi="Arial"/>
                <w:b/>
                <w:color w:val="5C6266"/>
                <w:sz w:val="17"/>
              </w:rPr>
              <w:t>Monatspauschalen</w:t>
            </w:r>
          </w:p>
        </w:tc>
        <w:tc>
          <w:tcPr>
            <w:tcW w:type="dxa" w:w="7313"/>
            <w:vAlign w:val="top"/>
          </w:tcPr>
          <w:p>
            <w:pPr>
              <w:spacing w:after="20"/>
            </w:pPr>
            <w:r>
              <w:rPr>
                <w:rFonts w:ascii="Arial" w:hAnsi="Arial"/>
                <w:sz w:val="18"/>
              </w:rPr>
              <w:t>1488 EUR</w:t>
            </w:r>
          </w:p>
        </w:tc>
      </w:tr>
      <w:tr>
        <w:tc>
          <w:tcPr>
            <w:tcW w:type="dxa" w:w="1928"/>
            <w:vAlign w:val="top"/>
          </w:tcPr>
          <w:p>
            <w:pPr>
              <w:spacing w:after="20"/>
            </w:pPr>
            <w:r>
              <w:rPr>
                <w:rFonts w:ascii="Arial" w:hAnsi="Arial"/>
                <w:b/>
                <w:color w:val="5C6266"/>
                <w:sz w:val="17"/>
              </w:rPr>
              <w:t>Zusatzgebühren</w:t>
            </w:r>
          </w:p>
        </w:tc>
        <w:tc>
          <w:tcPr>
            <w:tcW w:type="dxa" w:w="7313"/>
            <w:vAlign w:val="top"/>
          </w:tcPr>
          <w:p>
            <w:pPr>
              <w:spacing w:after="20"/>
            </w:pPr>
            <w:r>
              <w:rPr>
                <w:rFonts w:ascii="Arial" w:hAnsi="Arial"/>
                <w:sz w:val="18"/>
              </w:rPr>
              <w:t>96 EUR</w:t>
            </w:r>
          </w:p>
        </w:tc>
      </w:tr>
    </w:tbl>
    <w:p>
      <w:pPr>
        <w:spacing w:after="40"/>
      </w:pPr>
    </w:p>
    <w:p>
      <w:pPr>
        <w:pStyle w:val="Heading1"/>
      </w:pPr>
      <w:r>
        <w:t>1. Abrechnung</w:t>
      </w:r>
    </w:p>
    <w:p>
      <w:pPr>
        <w:widowControl/>
        <w:jc w:val="both"/>
      </w:pPr>
      <w:r>
        <w:t>Für sechs Monate wurden je 248 EUR abgerechnet. Drei kurzfristig abgesagte Ersatztermine am 6. April, 14. April und 2. Juni wurden zusätzlich mit je 32 EUR berechnet. Die Lastschrift Mai wurde zurückgegeben.</w:t>
      </w:r>
    </w:p>
    <w:p>
      <w:pPr>
        <w:widowControl/>
        <w:jc w:val="both"/>
      </w:pPr>
      <w:r>
        <w:t>Das Institut erteilte eine Gutschrift über 31 EUR für einen Lehrerausfall am 23. Juni. Für die Absage der Lehrkraft am 12. Mai fand am 30. Juni ein Ersatztermin statt.</w:t>
      </w:r>
    </w:p>
    <w:p>
      <w:pPr>
        <w:pStyle w:val="Heading1"/>
      </w:pPr>
      <w:r>
        <w:t>2. Forderung</w:t>
      </w:r>
    </w:p>
    <w:p>
      <w:pPr>
        <w:widowControl/>
        <w:jc w:val="both"/>
      </w:pPr>
      <w:r>
        <w:t>Nach Zahlungen und Rücklastschrift weist die Abrechnung 313 EUR offen aus. Die Eltern bestreiten April und Mai vollständig sowie alle Zusatzgebühren.</w:t>
      </w:r>
    </w:p>
    <w:p>
      <w:pPr>
        <w:widowControl/>
        <w:jc w:val="both"/>
      </w:pPr>
      <w:r>
        <w:t>Das Institut bietet nachträglich eine Ruhezeit für April gegen Verlängerung des Vertrags bis August an. Die Familie lehnt ab, weil Paula seit Juli eine andere Lerngruppe besucht.</w:t>
      </w:r>
    </w:p>
    <w:p/>
    <w:p>
      <w:r>
        <w:rPr>
          <w:b/>
        </w:rPr>
        <w:t>Katrin Opper</w:t>
      </w:r>
    </w:p>
    <w:p>
      <w:r>
        <w:t>Buchhaltung</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Zahlenweg Lerninstitut  |  Buchhaltung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Zahlenweg Lerninstitut</w:t>
          </w:r>
          <w:r>
            <w:rPr>
              <w:rFonts w:ascii="Arial" w:hAnsi="Arial"/>
              <w:color w:val="5C6266"/>
              <w:sz w:val="17"/>
            </w:rPr>
            <w:br/>
            <w:t>Buchhaltung</w:t>
          </w:r>
        </w:p>
      </w:tc>
      <w:tc>
        <w:tcPr>
          <w:tcW w:type="dxa" w:w="3742"/>
        </w:tcPr>
        <w:p>
          <w:pPr>
            <w:spacing w:after="0"/>
            <w:jc w:val="right"/>
          </w:pPr>
          <w:r>
            <w:rPr>
              <w:rFonts w:ascii="Arial" w:hAnsi="Arial"/>
              <w:color w:val="5C6266"/>
              <w:sz w:val="15"/>
            </w:rPr>
            <w:t>Endenicher Allee 48 · 53115 Bonn</w:t>
            <w:br/>
            <w:t>Telefon 0228 763 18 40 · lernen@zahlenweg-bonn.de</w:t>
            <w:br/>
            <w:t>Inhaberin Dr. Alina Ferber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