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Allgemein-Verbraucherdarlehensvertrag HK-260209-8841</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Darlehensnehmer</w:t>
            </w:r>
          </w:p>
        </w:tc>
        <w:tc>
          <w:tcPr>
            <w:tcW w:type="dxa" w:w="7313"/>
            <w:vAlign w:val="top"/>
          </w:tcPr>
          <w:p>
            <w:pPr>
              <w:spacing w:after="20"/>
            </w:pPr>
            <w:r>
              <w:rPr>
                <w:rFonts w:ascii="Arial" w:hAnsi="Arial"/>
                <w:sz w:val="18"/>
              </w:rPr>
              <w:t>Jasmin Berger / Oliver Hahn</w:t>
            </w:r>
          </w:p>
        </w:tc>
      </w:tr>
      <w:tr>
        <w:tc>
          <w:tcPr>
            <w:tcW w:type="dxa" w:w="1928"/>
            <w:vAlign w:val="top"/>
          </w:tcPr>
          <w:p>
            <w:pPr>
              <w:spacing w:after="20"/>
            </w:pPr>
            <w:r>
              <w:rPr>
                <w:rFonts w:ascii="Arial" w:hAnsi="Arial"/>
                <w:b/>
                <w:color w:val="5C6266"/>
                <w:sz w:val="17"/>
              </w:rPr>
              <w:t>Nettodarlehen</w:t>
            </w:r>
          </w:p>
        </w:tc>
        <w:tc>
          <w:tcPr>
            <w:tcW w:type="dxa" w:w="7313"/>
            <w:vAlign w:val="top"/>
          </w:tcPr>
          <w:p>
            <w:pPr>
              <w:spacing w:after="20"/>
            </w:pPr>
            <w:r>
              <w:rPr>
                <w:rFonts w:ascii="Arial" w:hAnsi="Arial"/>
                <w:sz w:val="18"/>
              </w:rPr>
              <w:t>7418 EUR</w:t>
            </w:r>
          </w:p>
        </w:tc>
      </w:tr>
      <w:tr>
        <w:tc>
          <w:tcPr>
            <w:tcW w:type="dxa" w:w="1928"/>
            <w:vAlign w:val="top"/>
          </w:tcPr>
          <w:p>
            <w:pPr>
              <w:spacing w:after="20"/>
            </w:pPr>
            <w:r>
              <w:rPr>
                <w:rFonts w:ascii="Arial" w:hAnsi="Arial"/>
                <w:b/>
                <w:color w:val="5C6266"/>
                <w:sz w:val="17"/>
              </w:rPr>
              <w:t>Laufzeit</w:t>
            </w:r>
          </w:p>
        </w:tc>
        <w:tc>
          <w:tcPr>
            <w:tcW w:type="dxa" w:w="7313"/>
            <w:vAlign w:val="top"/>
          </w:tcPr>
          <w:p>
            <w:pPr>
              <w:spacing w:after="20"/>
            </w:pPr>
            <w:r>
              <w:rPr>
                <w:rFonts w:ascii="Arial" w:hAnsi="Arial"/>
                <w:sz w:val="18"/>
              </w:rPr>
              <w:t>36 Monate</w:t>
            </w:r>
          </w:p>
        </w:tc>
      </w:tr>
      <w:tr>
        <w:tc>
          <w:tcPr>
            <w:tcW w:type="dxa" w:w="1928"/>
            <w:vAlign w:val="top"/>
          </w:tcPr>
          <w:p>
            <w:pPr>
              <w:spacing w:after="20"/>
            </w:pPr>
            <w:r>
              <w:rPr>
                <w:rFonts w:ascii="Arial" w:hAnsi="Arial"/>
                <w:b/>
                <w:color w:val="5C6266"/>
                <w:sz w:val="17"/>
              </w:rPr>
              <w:t>Sollzins</w:t>
            </w:r>
          </w:p>
        </w:tc>
        <w:tc>
          <w:tcPr>
            <w:tcW w:type="dxa" w:w="7313"/>
            <w:vAlign w:val="top"/>
          </w:tcPr>
          <w:p>
            <w:pPr>
              <w:spacing w:after="20"/>
            </w:pPr>
            <w:r>
              <w:rPr>
                <w:rFonts w:ascii="Arial" w:hAnsi="Arial"/>
                <w:sz w:val="18"/>
              </w:rPr>
              <w:t>8.17 Prozent gebunden</w:t>
            </w:r>
          </w:p>
        </w:tc>
      </w:tr>
    </w:tbl>
    <w:p>
      <w:pPr>
        <w:spacing w:after="40"/>
      </w:pPr>
    </w:p>
    <w:p>
      <w:pPr>
        <w:pStyle w:val="Heading1"/>
      </w:pPr>
      <w:r>
        <w:t>1. Finanzierung</w:t>
      </w:r>
    </w:p>
    <w:p>
      <w:pPr>
        <w:widowControl/>
        <w:jc w:val="both"/>
      </w:pPr>
      <w:r>
        <w:t>Vom Nettodarlehen entfallen 6990 EUR auf den Kaufpreisrest und 428 EUR auf den Einmalbeitrag einer Ratenschutzversicherung. Der effektive Jahreszins ist in der Kundenkopie mit 8.49 Prozent, in der elektronischen Bankfassung mit 9.12 Prozent ausgewiesen. Die monatliche Rate beträgt 233.14 EUR ab 1. April 2026.</w:t>
      </w:r>
    </w:p>
    <w:p>
      <w:pPr>
        <w:widowControl/>
        <w:jc w:val="both"/>
      </w:pPr>
      <w:r>
        <w:t>Die Bank zahlte 6990 EUR am 12. Februar an Radkontor Havel und 428 EUR an Nordstern Ratenschutz AG. Jasmin Berger und Oliver Hahn unterzeichneten auf einem Signaturpad. Die ausgedruckte Kundenkopie trägt nur die eingescannte Unterschrift der Bank.</w:t>
      </w:r>
    </w:p>
    <w:p>
      <w:pPr>
        <w:pStyle w:val="Heading1"/>
      </w:pPr>
      <w:r>
        <w:t>2. Erklärungen und Kommunikation</w:t>
      </w:r>
    </w:p>
    <w:p>
      <w:pPr>
        <w:widowControl/>
        <w:jc w:val="both"/>
      </w:pPr>
      <w:r>
        <w:t>Die Widerrufsinformation nennt eine Frist von vierzehn Tagen und verweist für Pflichtangaben auf Abschnitt 3. In der ausgehändigten Papierkopie fehlen die Seiten 7 und 8 mit dem Tilgungsplan; Jasmin Berger fotografierte die geheftete Kopie am Abend.</w:t>
      </w:r>
    </w:p>
    <w:p>
      <w:pPr>
        <w:widowControl/>
        <w:jc w:val="both"/>
      </w:pPr>
      <w:r>
        <w:t>Als Kommunikationsadresse ist die gemeinsame Wohnung Lindenstraße 48 eingetragen. Oliver Hahn zog am 4. Mai aus. Eine Änderungsmitteilung ging am 10. Mai über das Kundenportal ein, wurde aber nur im Profil von Jasmin Berger gespeichert.</w:t>
      </w:r>
    </w:p>
    <w:p/>
    <w:p>
      <w:r>
        <w:rPr>
          <w:b/>
        </w:rPr>
        <w:t>Havelland Kreditbank AG</w:t>
      </w:r>
    </w:p>
    <w:p>
      <w:r>
        <w:t>Automatisiert erstellte Vertragsausfertigung</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Havelland Kreditbank AG  |  Verbraucherfinanzierung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Havelland Kreditbank AG</w:t>
          </w:r>
          <w:r>
            <w:rPr>
              <w:rFonts w:ascii="Arial" w:hAnsi="Arial"/>
              <w:color w:val="5C6266"/>
              <w:sz w:val="17"/>
            </w:rPr>
            <w:br/>
            <w:t>Verbraucherfinanzierung</w:t>
          </w:r>
        </w:p>
      </w:tc>
      <w:tc>
        <w:tcPr>
          <w:tcW w:type="dxa" w:w="3742"/>
        </w:tcPr>
        <w:p>
          <w:pPr>
            <w:spacing w:after="0"/>
            <w:jc w:val="right"/>
          </w:pPr>
          <w:r>
            <w:rPr>
              <w:rFonts w:ascii="Arial" w:hAnsi="Arial"/>
              <w:color w:val="5C6266"/>
              <w:sz w:val="15"/>
            </w:rPr>
            <w:t>Breite Straße 29 · 14467 Potsdam</w:t>
            <w:br/>
            <w:t>Telefon 0331 701 44 0 · kreditservice@havelland-kredit.de</w:t>
            <w:br/>
            <w:t>BIC HAKRDEB1XXX</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