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Veranstaltungsangebot GW-2608-21</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Brautpaar</w:t>
            </w:r>
          </w:p>
        </w:tc>
        <w:tc>
          <w:tcPr>
            <w:tcW w:type="dxa" w:w="7313"/>
            <w:vAlign w:val="top"/>
          </w:tcPr>
          <w:p>
            <w:pPr>
              <w:spacing w:after="20"/>
            </w:pPr>
            <w:r>
              <w:rPr>
                <w:rFonts w:ascii="Arial" w:hAnsi="Arial"/>
                <w:sz w:val="18"/>
              </w:rPr>
              <w:t>Nora Seifert und Elias Born</w:t>
            </w:r>
          </w:p>
        </w:tc>
      </w:tr>
      <w:tr>
        <w:tc>
          <w:tcPr>
            <w:tcW w:type="dxa" w:w="1928"/>
            <w:vAlign w:val="top"/>
          </w:tcPr>
          <w:p>
            <w:pPr>
              <w:spacing w:after="20"/>
            </w:pPr>
            <w:r>
              <w:rPr>
                <w:rFonts w:ascii="Arial" w:hAnsi="Arial"/>
                <w:b/>
                <w:color w:val="5C6266"/>
                <w:sz w:val="17"/>
              </w:rPr>
              <w:t>Termin</w:t>
            </w:r>
          </w:p>
        </w:tc>
        <w:tc>
          <w:tcPr>
            <w:tcW w:type="dxa" w:w="7313"/>
            <w:vAlign w:val="top"/>
          </w:tcPr>
          <w:p>
            <w:pPr>
              <w:spacing w:after="20"/>
            </w:pPr>
            <w:r>
              <w:rPr>
                <w:rFonts w:ascii="Arial" w:hAnsi="Arial"/>
                <w:sz w:val="18"/>
              </w:rPr>
              <w:t>21.08.2026</w:t>
            </w:r>
          </w:p>
        </w:tc>
      </w:tr>
      <w:tr>
        <w:tc>
          <w:tcPr>
            <w:tcW w:type="dxa" w:w="1928"/>
            <w:vAlign w:val="top"/>
          </w:tcPr>
          <w:p>
            <w:pPr>
              <w:spacing w:after="20"/>
            </w:pPr>
            <w:r>
              <w:rPr>
                <w:rFonts w:ascii="Arial" w:hAnsi="Arial"/>
                <w:b/>
                <w:color w:val="5C6266"/>
                <w:sz w:val="17"/>
              </w:rPr>
              <w:t>Gäste</w:t>
            </w:r>
          </w:p>
        </w:tc>
        <w:tc>
          <w:tcPr>
            <w:tcW w:type="dxa" w:w="7313"/>
            <w:vAlign w:val="top"/>
          </w:tcPr>
          <w:p>
            <w:pPr>
              <w:spacing w:after="20"/>
            </w:pPr>
            <w:r>
              <w:rPr>
                <w:rFonts w:ascii="Arial" w:hAnsi="Arial"/>
                <w:sz w:val="18"/>
              </w:rPr>
              <w:t>82 Erwachsene / 11 Kinder</w:t>
            </w:r>
          </w:p>
        </w:tc>
      </w:tr>
      <w:tr>
        <w:tc>
          <w:tcPr>
            <w:tcW w:type="dxa" w:w="1928"/>
            <w:vAlign w:val="top"/>
          </w:tcPr>
          <w:p>
            <w:pPr>
              <w:spacing w:after="20"/>
            </w:pPr>
            <w:r>
              <w:rPr>
                <w:rFonts w:ascii="Arial" w:hAnsi="Arial"/>
                <w:b/>
                <w:color w:val="5C6266"/>
                <w:sz w:val="17"/>
              </w:rPr>
              <w:t>Gesamt</w:t>
            </w:r>
          </w:p>
        </w:tc>
        <w:tc>
          <w:tcPr>
            <w:tcW w:type="dxa" w:w="7313"/>
            <w:vAlign w:val="top"/>
          </w:tcPr>
          <w:p>
            <w:pPr>
              <w:spacing w:after="20"/>
            </w:pPr>
            <w:r>
              <w:rPr>
                <w:rFonts w:ascii="Arial" w:hAnsi="Arial"/>
                <w:sz w:val="18"/>
              </w:rPr>
              <w:t>12800 EUR</w:t>
            </w:r>
          </w:p>
        </w:tc>
      </w:tr>
    </w:tbl>
    <w:p>
      <w:pPr>
        <w:spacing w:after="40"/>
      </w:pPr>
    </w:p>
    <w:p>
      <w:pPr>
        <w:pStyle w:val="Heading1"/>
      </w:pPr>
      <w:r>
        <w:t>1. Leistungen</w:t>
      </w:r>
    </w:p>
    <w:p>
      <w:pPr>
        <w:widowControl/>
        <w:jc w:val="both"/>
      </w:pPr>
      <w:r>
        <w:t>Enthalten sind Orangerie von 14:00 bis 02:00 Uhr, freie Trauung auf der Elbterrasse, Mobiliar, Menü, Getränkepauschale sechs Stunden, Servicepersonal und Endreinigung. Nicht enthalten sind Floristik, Musiktechnik und Übernachtungen.</w:t>
      </w:r>
    </w:p>
    <w:p>
      <w:pPr>
        <w:widowControl/>
        <w:jc w:val="both"/>
      </w:pPr>
      <w:r>
        <w:t>Das Angebot ist bis 18. November 2025 bindend. Zur Festbuchung verlangt die Location unterschriebene Reservierung und 3200 EUR Anzahlung. Das Paar befindet sich bis Ende November beruflich in Kanada.</w:t>
      </w:r>
    </w:p>
    <w:p>
      <w:pPr>
        <w:pStyle w:val="Heading1"/>
      </w:pPr>
      <w:r>
        <w:t>2. Stornoregel</w:t>
      </w:r>
    </w:p>
    <w:p>
      <w:pPr>
        <w:widowControl/>
        <w:jc w:val="both"/>
      </w:pPr>
      <w:r>
        <w:t>Die beigefügten Bedingungen nennen bei Eingang der Absage mehr als 120 Kalendertage vor dem Termin 40 Prozent, bei 120 bis 31 Kalendertagen 70 Prozent und ab 30 Kalendertagen 90 Prozent des vereinbarten Entgelts. Der Kunde darf geringere ersparte Aufwendungen oder anderweitige Vermietung nachweisen.</w:t>
      </w:r>
    </w:p>
    <w:p>
      <w:pPr>
        <w:widowControl/>
        <w:jc w:val="both"/>
      </w:pPr>
      <w:r>
        <w:t>Eventmanagerin Paula Neubert führt Gespräche mit der Schwester des Bräutigams, Miriam Born. In der Kundenakte steht Familie entscheidet gemeinsam, Miriam koordiniert vor Ort.</w:t>
      </w:r>
    </w:p>
    <w:p/>
    <w:p>
      <w:r>
        <w:rPr>
          <w:b/>
        </w:rPr>
        <w:t>Paula Neubert</w:t>
      </w:r>
    </w:p>
    <w:p>
      <w:r>
        <w:t>Eventmanagement</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Gut Wachwitz Veranstaltungen GmbH  |  Orangerie und Elbterrasse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Gut Wachwitz Veranstaltungen GmbH</w:t>
          </w:r>
          <w:r>
            <w:rPr>
              <w:rFonts w:ascii="Arial" w:hAnsi="Arial"/>
              <w:color w:val="5C6266"/>
              <w:sz w:val="17"/>
            </w:rPr>
            <w:br/>
            <w:t>Orangerie und Elbterrasse</w:t>
          </w:r>
        </w:p>
      </w:tc>
      <w:tc>
        <w:tcPr>
          <w:tcW w:type="dxa" w:w="3742"/>
        </w:tcPr>
        <w:p>
          <w:pPr>
            <w:spacing w:after="0"/>
            <w:jc w:val="right"/>
          </w:pPr>
          <w:r>
            <w:rPr>
              <w:rFonts w:ascii="Arial" w:hAnsi="Arial"/>
              <w:color w:val="5C6266"/>
              <w:sz w:val="15"/>
            </w:rPr>
            <w:t>Pillnitzer Landstraße 188 · 01326 Dresden</w:t>
            <w:br/>
            <w:t>Telefon 0351 261 88 40 · feiern@gut-wachwitz.de</w:t>
            <w:br/>
            <w:t>Gut Wachwitz Veranstaltungen GmbH · HRB 44108 AG Dresden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