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Festbuchung GW-2608-21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Unterzeichnung</w:t>
            </w:r>
          </w:p>
        </w:tc>
        <w:tc>
          <w:tcPr>
            <w:tcW w:type="dxa" w:w="7313"/>
            <w:vAlign w:val="top"/>
          </w:tcPr>
          <w:p>
            <w:pPr>
              <w:spacing w:after="20"/>
            </w:pPr>
            <w:r>
              <w:rPr>
                <w:rFonts w:ascii="Arial" w:hAnsi="Arial"/>
                <w:sz w:val="18"/>
              </w:rPr>
              <w:t>17.11.2025</w:t>
            </w:r>
          </w:p>
        </w:tc>
      </w:tr>
      <w:tr>
        <w:tc>
          <w:tcPr>
            <w:tcW w:type="dxa" w:w="1928"/>
            <w:vAlign w:val="top"/>
          </w:tcPr>
          <w:p>
            <w:pPr>
              <w:spacing w:after="20"/>
            </w:pPr>
            <w:r>
              <w:rPr>
                <w:rFonts w:ascii="Arial" w:hAnsi="Arial"/>
                <w:b/>
                <w:color w:val="5C6266"/>
                <w:sz w:val="17"/>
              </w:rPr>
              <w:t>Unterzeichnerin</w:t>
            </w:r>
          </w:p>
        </w:tc>
        <w:tc>
          <w:tcPr>
            <w:tcW w:type="dxa" w:w="7313"/>
            <w:vAlign w:val="top"/>
          </w:tcPr>
          <w:p>
            <w:pPr>
              <w:spacing w:after="20"/>
            </w:pPr>
            <w:r>
              <w:rPr>
                <w:rFonts w:ascii="Arial" w:hAnsi="Arial"/>
                <w:sz w:val="18"/>
              </w:rPr>
              <w:t>Miriam Born</w:t>
            </w:r>
          </w:p>
        </w:tc>
      </w:tr>
      <w:tr>
        <w:tc>
          <w:tcPr>
            <w:tcW w:type="dxa" w:w="1928"/>
            <w:vAlign w:val="top"/>
          </w:tcPr>
          <w:p>
            <w:pPr>
              <w:spacing w:after="20"/>
            </w:pPr>
            <w:r>
              <w:rPr>
                <w:rFonts w:ascii="Arial" w:hAnsi="Arial"/>
                <w:b/>
                <w:color w:val="5C6266"/>
                <w:sz w:val="17"/>
              </w:rPr>
              <w:t>Zusatz</w:t>
            </w:r>
          </w:p>
        </w:tc>
        <w:tc>
          <w:tcPr>
            <w:tcW w:type="dxa" w:w="7313"/>
            <w:vAlign w:val="top"/>
          </w:tcPr>
          <w:p>
            <w:pPr>
              <w:spacing w:after="20"/>
            </w:pPr>
            <w:r>
              <w:rPr>
                <w:rFonts w:ascii="Arial" w:hAnsi="Arial"/>
                <w:sz w:val="18"/>
              </w:rPr>
              <w:t>i. A. Nora Seifert und Elias Born</w:t>
            </w:r>
          </w:p>
        </w:tc>
      </w:tr>
      <w:tr>
        <w:tc>
          <w:tcPr>
            <w:tcW w:type="dxa" w:w="1928"/>
            <w:vAlign w:val="top"/>
          </w:tcPr>
          <w:p>
            <w:pPr>
              <w:spacing w:after="20"/>
            </w:pPr>
            <w:r>
              <w:rPr>
                <w:rFonts w:ascii="Arial" w:hAnsi="Arial"/>
                <w:b/>
                <w:color w:val="5C6266"/>
                <w:sz w:val="17"/>
              </w:rPr>
              <w:t>Anzahlung</w:t>
            </w:r>
          </w:p>
        </w:tc>
        <w:tc>
          <w:tcPr>
            <w:tcW w:type="dxa" w:w="7313"/>
            <w:vAlign w:val="top"/>
          </w:tcPr>
          <w:p>
            <w:pPr>
              <w:spacing w:after="20"/>
            </w:pPr>
            <w:r>
              <w:rPr>
                <w:rFonts w:ascii="Arial" w:hAnsi="Arial"/>
                <w:sz w:val="18"/>
              </w:rPr>
              <w:t>3200 EUR fällig 24.11.2025</w:t>
            </w:r>
          </w:p>
        </w:tc>
      </w:tr>
    </w:tbl>
    <w:p>
      <w:pPr>
        <w:spacing w:after="40"/>
      </w:pPr>
    </w:p>
    <w:p>
      <w:pPr>
        <w:pStyle w:val="Heading1"/>
      </w:pPr>
      <w:r>
        <w:t>1. Erklärung</w:t>
      </w:r>
    </w:p>
    <w:p>
      <w:pPr>
        <w:widowControl/>
        <w:jc w:val="both"/>
      </w:pPr>
      <w:r>
        <w:t>Miriam Born unterzeichnet die Reservierung mit dem Zusatz i. A. und trägt die Anschrift des Brautpaars ein. Eine Vollmachtsurkunde ist nicht beigefügt. Sie legt der Location auf dem Mobiltelefon eine Nachricht ihres Bruders vor: Such uns etwas aus und mach den Termin fest, Budget höchstens 12000 plus Getränke.</w:t>
      </w:r>
    </w:p>
    <w:p>
      <w:pPr>
        <w:widowControl/>
        <w:jc w:val="both"/>
      </w:pPr>
      <w:r>
        <w:t>Paula Neubert weist darauf hin, das Angebot liege mit 12800 EUR über dem genannten Betrag. Miriam Born erklärt, Nora habe am Vortag telefonisch zusätzliche Kinderbetreuung gewünscht und das höhere Budget sei geklärt.</w:t>
      </w:r>
    </w:p>
    <w:p>
      <w:pPr>
        <w:pStyle w:val="Heading1"/>
      </w:pPr>
      <w:r>
        <w:t>2. Nachlauf</w:t>
      </w:r>
    </w:p>
    <w:p>
      <w:pPr>
        <w:widowControl/>
        <w:jc w:val="both"/>
      </w:pPr>
      <w:r>
        <w:t>Die Anzahlung von 3200 EUR geht am 21. November vom gemeinsamen Konto Nora Seifert/Elias Born ein, Verwendungszweck Hochzeit Wachwitz 21.8. Elias. Am 28. November schreibt Nora Seifert an die Location und fragt nach vegetarischem Menü und früherem Aufbau.</w:t>
      </w:r>
    </w:p>
    <w:p>
      <w:pPr>
        <w:widowControl/>
        <w:jc w:val="both"/>
      </w:pPr>
      <w:r>
        <w:t>Eine gegengezeichnete Ausfertigung wird am 18. November an Miriam Born und in Kopie an die gemeinsame E-Mail-Adresse des Paares geschickt. Ein Zustellfehler ist nicht vermerkt.</w:t>
      </w:r>
    </w:p>
    <w:p/>
    <w:p>
      <w:r>
        <w:rPr>
          <w:b/>
        </w:rPr>
        <w:t>Miriam Born</w:t>
      </w:r>
    </w:p>
    <w:p>
      <w:r>
        <w:t>i. A. Nora Seifert und Elias Born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Gut Wachwitz Veranstaltungen GmbH  |  Reservierungsbestätigung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Gut Wachwitz Veranstaltungen GmbH</w:t>
          </w:r>
          <w:r>
            <w:rPr>
              <w:rFonts w:ascii="Arial" w:hAnsi="Arial"/>
              <w:color w:val="5C6266"/>
              <w:sz w:val="17"/>
            </w:rPr>
            <w:br/>
            <w:t>Reservierungsbestätigung</w:t>
          </w:r>
        </w:p>
      </w:tc>
      <w:tc>
        <w:tcPr>
          <w:tcW w:type="dxa" w:w="3742"/>
        </w:tcPr>
        <w:p>
          <w:pPr>
            <w:spacing w:after="0"/>
            <w:jc w:val="right"/>
          </w:pPr>
          <w:r>
            <w:rPr>
              <w:rFonts w:ascii="Arial" w:hAnsi="Arial"/>
              <w:color w:val="5C6266"/>
              <w:sz w:val="15"/>
            </w:rPr>
            <w:t>Pillnitzer Landstraße 188 · 01326 Dresden</w:t>
            <w:br/>
            <w:t>Telefon 0351 261 88 40 · feiern@gut-wachwitz.de</w:t>
            <w:br/>
            <w:t>Gut Wachwitz Veranstaltungen GmbH · HRB 44108 AG Dresden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