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rFonts w:ascii="Arial" w:hAnsi="Arial"/>
          <w:b/>
          <w:color w:val="01696F"/>
          <w:sz w:val="34"/>
        </w:rPr>
        <w:t>Mietvertrag und Übergabeübersicht</w:t>
      </w:r>
    </w:p>
    <w:tbl>
      <w:tblPr>
        <w:tblW w:type="auto" w:w="0"/>
        <w:jc w:val="left"/>
        <w:tblLayout w:type="fixed"/>
        <w:tblLook w:firstColumn="1" w:firstRow="1" w:lastColumn="0" w:lastRow="0" w:noHBand="0" w:noVBand="1" w:val="04A0"/>
      </w:tblPr>
      <w:tblGrid>
        <w:gridCol w:w="4620"/>
        <w:gridCol w:w="4620"/>
      </w:tblGrid>
      <w:tr>
        <w:tc>
          <w:tcPr>
            <w:tcW w:type="dxa" w:w="1928"/>
            <w:vAlign w:val="top"/>
          </w:tcPr>
          <w:p>
            <w:pPr>
              <w:spacing w:after="20"/>
            </w:pPr>
            <w:r>
              <w:rPr>
                <w:rFonts w:ascii="Arial" w:hAnsi="Arial"/>
                <w:b/>
                <w:color w:val="5C6266"/>
                <w:sz w:val="17"/>
              </w:rPr>
              <w:t>Vermieterin</w:t>
            </w:r>
          </w:p>
        </w:tc>
        <w:tc>
          <w:tcPr>
            <w:tcW w:type="dxa" w:w="7313"/>
            <w:vAlign w:val="top"/>
          </w:tcPr>
          <w:p>
            <w:pPr>
              <w:spacing w:after="20"/>
            </w:pPr>
            <w:r>
              <w:rPr>
                <w:rFonts w:ascii="Arial" w:hAnsi="Arial"/>
                <w:sz w:val="18"/>
              </w:rPr>
              <w:t>Clara Seidel</w:t>
            </w:r>
          </w:p>
        </w:tc>
      </w:tr>
      <w:tr>
        <w:tc>
          <w:tcPr>
            <w:tcW w:type="dxa" w:w="1928"/>
            <w:vAlign w:val="top"/>
          </w:tcPr>
          <w:p>
            <w:pPr>
              <w:spacing w:after="20"/>
            </w:pPr>
            <w:r>
              <w:rPr>
                <w:rFonts w:ascii="Arial" w:hAnsi="Arial"/>
                <w:b/>
                <w:color w:val="5C6266"/>
                <w:sz w:val="17"/>
              </w:rPr>
              <w:t>Mieter</w:t>
            </w:r>
          </w:p>
        </w:tc>
        <w:tc>
          <w:tcPr>
            <w:tcW w:type="dxa" w:w="7313"/>
            <w:vAlign w:val="top"/>
          </w:tcPr>
          <w:p>
            <w:pPr>
              <w:spacing w:after="20"/>
            </w:pPr>
            <w:r>
              <w:rPr>
                <w:rFonts w:ascii="Arial" w:hAnsi="Arial"/>
                <w:sz w:val="18"/>
              </w:rPr>
              <w:t>Marco Rinaldi / Elisa Gori</w:t>
            </w:r>
          </w:p>
        </w:tc>
      </w:tr>
      <w:tr>
        <w:tc>
          <w:tcPr>
            <w:tcW w:type="dxa" w:w="1928"/>
            <w:vAlign w:val="top"/>
          </w:tcPr>
          <w:p>
            <w:pPr>
              <w:spacing w:after="20"/>
            </w:pPr>
            <w:r>
              <w:rPr>
                <w:rFonts w:ascii="Arial" w:hAnsi="Arial"/>
                <w:b/>
                <w:color w:val="5C6266"/>
                <w:sz w:val="17"/>
              </w:rPr>
              <w:t>Beginn</w:t>
            </w:r>
          </w:p>
        </w:tc>
        <w:tc>
          <w:tcPr>
            <w:tcW w:type="dxa" w:w="7313"/>
            <w:vAlign w:val="top"/>
          </w:tcPr>
          <w:p>
            <w:pPr>
              <w:spacing w:after="20"/>
            </w:pPr>
            <w:r>
              <w:rPr>
                <w:rFonts w:ascii="Arial" w:hAnsi="Arial"/>
                <w:sz w:val="18"/>
              </w:rPr>
              <w:t>01.09.2024</w:t>
            </w:r>
          </w:p>
        </w:tc>
      </w:tr>
      <w:tr>
        <w:tc>
          <w:tcPr>
            <w:tcW w:type="dxa" w:w="1928"/>
            <w:vAlign w:val="top"/>
          </w:tcPr>
          <w:p>
            <w:pPr>
              <w:spacing w:after="20"/>
            </w:pPr>
            <w:r>
              <w:rPr>
                <w:rFonts w:ascii="Arial" w:hAnsi="Arial"/>
                <w:b/>
                <w:color w:val="5C6266"/>
                <w:sz w:val="17"/>
              </w:rPr>
              <w:t>Monatsmiete</w:t>
            </w:r>
          </w:p>
        </w:tc>
        <w:tc>
          <w:tcPr>
            <w:tcW w:type="dxa" w:w="7313"/>
            <w:vAlign w:val="top"/>
          </w:tcPr>
          <w:p>
            <w:pPr>
              <w:spacing w:after="20"/>
            </w:pPr>
            <w:r>
              <w:rPr>
                <w:rFonts w:ascii="Arial" w:hAnsi="Arial"/>
                <w:sz w:val="18"/>
              </w:rPr>
              <w:t>1280 EUR zuzüglich 190 EUR Vorauszahlung</w:t>
            </w:r>
          </w:p>
        </w:tc>
      </w:tr>
    </w:tbl>
    <w:p>
      <w:pPr>
        <w:spacing w:after="40"/>
      </w:pPr>
    </w:p>
    <w:p>
      <w:pPr>
        <w:pStyle w:val="Heading1"/>
      </w:pPr>
      <w:r>
        <w:t>1. Vertragsinhalt</w:t>
      </w:r>
    </w:p>
    <w:p>
      <w:pPr>
        <w:widowControl/>
        <w:jc w:val="both"/>
      </w:pPr>
      <w:r>
        <w:t>Der Vertrag läuft vier Jahre mit gesetzlicher Verlängerungsmöglichkeit. Die Nettomiete ist bis zum fünften Tag jedes Monats auf das Treuhandkonto der Verwalterin zu zahlen. Die Verwalterin behält monatlich 102.40 EUR Honorar ein und leitet den verbleibenden Betrag jeweils zum Monatsende an Clara Seidel weiter.</w:t>
      </w:r>
    </w:p>
    <w:p>
      <w:pPr>
        <w:widowControl/>
        <w:jc w:val="both"/>
      </w:pPr>
      <w:r>
        <w:t>Die Kaution beträgt 3840 EUR. Sie wurde am 28. August 2024 auf einem gesonderten Konto verbucht und nicht an die Eigentümerin ausgekehrt. Kleinreparaturen bis 180 EUR tragen die Mieter; Arbeiten an Leitungen und Gemeinschaftseigentum werden über die Verwalterin beauftragt.</w:t>
      </w:r>
    </w:p>
    <w:p>
      <w:pPr>
        <w:pStyle w:val="Heading1"/>
      </w:pPr>
      <w:r>
        <w:t>2. Übergabe und Mietverlauf</w:t>
      </w:r>
    </w:p>
    <w:p>
      <w:pPr>
        <w:widowControl/>
        <w:jc w:val="both"/>
      </w:pPr>
      <w:r>
        <w:t>Bei Übergabe am 30. August 2024 wurden 62 kleine Bohrlöcher, ein Haarriss im Wohnzimmer und ein feuchter Fleck neben dem Küchenfenster protokolliert. Der Wasserzähler stand bei 04118 Kubikmetern. Die erste Monatsmiete ging am 2. September ein.</w:t>
      </w:r>
    </w:p>
    <w:p>
      <w:pPr>
        <w:widowControl/>
        <w:jc w:val="both"/>
      </w:pPr>
      <w:r>
        <w:t>Im März 2025 zahlten die Mieter nur 1080 EUR Nettomiete und verrechneten 200 EUR für einen Notdienst am Küchenabfluss. Die Verwalterin widersprach der Verrechnung, leitete aber nur den tatsächlich eingegangenen Betrag weiter. Im Dezember 2025 wurde die Miete wegen Baugerüsts einvernehmlich um 160 EUR gemindert.</w:t>
      </w:r>
    </w:p>
    <w:p/>
    <w:p>
      <w:r>
        <w:rPr>
          <w:b/>
        </w:rPr>
        <w:t>Paolo Ventresca</w:t>
      </w:r>
    </w:p>
    <w:p>
      <w:r>
        <w:t>Amministratore</w:t>
      </w:r>
    </w:p>
    <w:sectPr w:rsidR="00FC693F" w:rsidRPr="0006063C" w:rsidSect="00034616">
      <w:headerReference w:type="default" r:id="rId9"/>
      <w:footerReference w:type="default" r:id="rId10"/>
      <w:pgSz w:w="11906" w:h="16838"/>
      <w:pgMar w:top="1332" w:right="1276" w:bottom="1247" w:left="1389"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266"/>
        <w:sz w:val="15"/>
      </w:rPr>
      <w:t xml:space="preserve">Amministrazioni Ventresca SRL  |  Condominio und Mietverwaltung  |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1696F"/>
      </w:pBdr>
    </w:pPr>
  </w:p>
  <w:tbl>
    <w:tblPr>
      <w:tblW w:type="auto" w:w="0"/>
      <w:jc w:val="left"/>
      <w:tblLayout w:type="fixed"/>
      <w:tblLook w:firstColumn="1" w:firstRow="1" w:lastColumn="0" w:lastRow="0" w:noHBand="0" w:noVBand="1" w:val="04A0"/>
    </w:tblPr>
    <w:tblGrid>
      <w:gridCol w:w="5499"/>
      <w:gridCol w:w="3742"/>
    </w:tblGrid>
    <w:tr>
      <w:tc>
        <w:tcPr>
          <w:tcW w:type="dxa" w:w="5499"/>
        </w:tcPr>
        <w:p>
          <w:pPr>
            <w:spacing w:after="0"/>
          </w:pPr>
          <w:r>
            <w:rPr>
              <w:rFonts w:ascii="Arial" w:hAnsi="Arial"/>
              <w:b/>
              <w:color w:val="01696F"/>
              <w:sz w:val="25"/>
            </w:rPr>
            <w:t>Amministrazioni Ventresca SRL</w:t>
          </w:r>
          <w:r>
            <w:rPr>
              <w:rFonts w:ascii="Arial" w:hAnsi="Arial"/>
              <w:color w:val="5C6266"/>
              <w:sz w:val="17"/>
            </w:rPr>
            <w:br/>
            <w:t>Condominio und Mietverwaltung</w:t>
          </w:r>
        </w:p>
      </w:tc>
      <w:tc>
        <w:tcPr>
          <w:tcW w:type="dxa" w:w="3742"/>
        </w:tcPr>
        <w:p>
          <w:pPr>
            <w:spacing w:after="0"/>
            <w:jc w:val="right"/>
          </w:pPr>
          <w:r>
            <w:rPr>
              <w:rFonts w:ascii="Arial" w:hAnsi="Arial"/>
              <w:color w:val="5C6266"/>
              <w:sz w:val="15"/>
            </w:rPr>
            <w:t>Via Andrea Costa 55 · 40134 Bologna</w:t>
            <w:br/>
            <w:t>Telefon +39 051 614 28 40 · affitti@ventresca-amministrazioni.it</w:t>
            <w:br/>
            <w:t>Partita IVA 03988211201</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1696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1696F"/>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169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