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Unterlagenliste und Gesprächsvermerk Italien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Mandantin</w:t>
            </w:r>
          </w:p>
        </w:tc>
        <w:tc>
          <w:tcPr>
            <w:tcW w:type="dxa" w:w="7313"/>
            <w:vAlign w:val="top"/>
          </w:tcPr>
          <w:p>
            <w:pPr>
              <w:spacing w:after="20"/>
            </w:pPr>
            <w:r>
              <w:rPr>
                <w:rFonts w:ascii="Arial" w:hAnsi="Arial"/>
                <w:sz w:val="18"/>
              </w:rPr>
              <w:t>Clara Seidel</w:t>
            </w:r>
          </w:p>
        </w:tc>
      </w:tr>
      <w:tr>
        <w:tc>
          <w:tcPr>
            <w:tcW w:type="dxa" w:w="1928"/>
            <w:vAlign w:val="top"/>
          </w:tcPr>
          <w:p>
            <w:pPr>
              <w:spacing w:after="20"/>
            </w:pPr>
            <w:r>
              <w:rPr>
                <w:rFonts w:ascii="Arial" w:hAnsi="Arial"/>
                <w:b/>
                <w:color w:val="5C6266"/>
                <w:sz w:val="17"/>
              </w:rPr>
              <w:t>Besprechung</w:t>
            </w:r>
          </w:p>
        </w:tc>
        <w:tc>
          <w:tcPr>
            <w:tcW w:type="dxa" w:w="7313"/>
            <w:vAlign w:val="top"/>
          </w:tcPr>
          <w:p>
            <w:pPr>
              <w:spacing w:after="20"/>
            </w:pPr>
            <w:r>
              <w:rPr>
                <w:rFonts w:ascii="Arial" w:hAnsi="Arial"/>
                <w:sz w:val="18"/>
              </w:rPr>
              <w:t>10.07.2026, 14:30 Uhr</w:t>
            </w:r>
          </w:p>
        </w:tc>
      </w:tr>
      <w:tr>
        <w:tc>
          <w:tcPr>
            <w:tcW w:type="dxa" w:w="1928"/>
            <w:vAlign w:val="top"/>
          </w:tcPr>
          <w:p>
            <w:pPr>
              <w:spacing w:after="20"/>
            </w:pPr>
            <w:r>
              <w:rPr>
                <w:rFonts w:ascii="Arial" w:hAnsi="Arial"/>
                <w:b/>
                <w:color w:val="5C6266"/>
                <w:sz w:val="17"/>
              </w:rPr>
              <w:t>Bearbeiter</w:t>
            </w:r>
          </w:p>
        </w:tc>
        <w:tc>
          <w:tcPr>
            <w:tcW w:type="dxa" w:w="7313"/>
            <w:vAlign w:val="top"/>
          </w:tcPr>
          <w:p>
            <w:pPr>
              <w:spacing w:after="20"/>
            </w:pPr>
            <w:r>
              <w:rPr>
                <w:rFonts w:ascii="Arial" w:hAnsi="Arial"/>
                <w:sz w:val="18"/>
              </w:rPr>
              <w:t>StB Moritz Heller</w:t>
            </w:r>
          </w:p>
        </w:tc>
      </w:tr>
      <w:tr>
        <w:tc>
          <w:tcPr>
            <w:tcW w:type="dxa" w:w="1928"/>
            <w:vAlign w:val="top"/>
          </w:tcPr>
          <w:p>
            <w:pPr>
              <w:spacing w:after="20"/>
            </w:pPr>
            <w:r>
              <w:rPr>
                <w:rFonts w:ascii="Arial" w:hAnsi="Arial"/>
                <w:b/>
                <w:color w:val="5C6266"/>
                <w:sz w:val="17"/>
              </w:rPr>
              <w:t>Frist Finanzamt</w:t>
            </w:r>
          </w:p>
        </w:tc>
        <w:tc>
          <w:tcPr>
            <w:tcW w:type="dxa" w:w="7313"/>
            <w:vAlign w:val="top"/>
          </w:tcPr>
          <w:p>
            <w:pPr>
              <w:spacing w:after="20"/>
            </w:pPr>
            <w:r>
              <w:rPr>
                <w:rFonts w:ascii="Arial" w:hAnsi="Arial"/>
                <w:sz w:val="18"/>
              </w:rPr>
              <w:t>03.08.2026</w:t>
            </w:r>
          </w:p>
        </w:tc>
      </w:tr>
    </w:tbl>
    <w:p>
      <w:pPr>
        <w:spacing w:after="40"/>
      </w:pPr>
    </w:p>
    <w:p>
      <w:pPr>
        <w:pStyle w:val="Heading1"/>
      </w:pPr>
      <w:r>
        <w:t>1. Angaben der Mandantin</w:t>
      </w:r>
    </w:p>
    <w:p>
      <w:pPr>
        <w:widowControl/>
        <w:jc w:val="both"/>
      </w:pPr>
      <w:r>
        <w:t>Clara Seidel wohnt und arbeitet seit 2011 in Nürnberg. Die Wohnung in Bologna wurde nach dem Tod ihrer Tante übernommen und unmittelbar über Ventresca vermietet. Eigene Aufenthalte beschränkten sich 2025 auf drei Besprechungen mit Verwalter und Handwerkern; übernachtet wurde nach ihrer Angabe in einem Hotel.</w:t>
      </w:r>
    </w:p>
    <w:p>
      <w:pPr>
        <w:widowControl/>
        <w:jc w:val="both"/>
      </w:pPr>
      <w:r>
        <w:t>Die deutsche Einkommensteuererklärung 2025 erstellte die Mandantin mit einer Steuersoftware. Sie erinnert sich an eine Frage nach ausländischen Einkünften, nahm jedoch an, die in Italien besteuerte Miete müsse nirgends eingetragen werden. Das italienische Büro erhielt nur Unterlagen zur Wohnung.</w:t>
      </w:r>
    </w:p>
    <w:p>
      <w:pPr>
        <w:pStyle w:val="Heading1"/>
      </w:pPr>
      <w:r>
        <w:t>2. Fehlende und widersprüchliche Belege</w:t>
      </w:r>
    </w:p>
    <w:p>
      <w:pPr>
        <w:widowControl/>
        <w:jc w:val="both"/>
      </w:pPr>
      <w:r>
        <w:t>Noch anzufordern sind die vollständigen italienischen Kontoauszüge, das Original der Dichiarazione, die F24-Quittungen und eine Aufschlüsselung der Dachumlage. In der Verwalterübersicht ist März mit 1080 EUR erfasst; die italienische Jahresübersicht nennt für März 1280 EUR. Dezember ist in beiden Unterlagen mit 1120 EUR ausgewiesen.</w:t>
      </w:r>
    </w:p>
    <w:p>
      <w:pPr>
        <w:widowControl/>
        <w:jc w:val="both"/>
      </w:pPr>
      <w:r>
        <w:t>Vor einer Antwort sind Ansässigkeit, Zuordnung nach dem Abkommen, innerstaatliche Progressionsregel und Mitwirkung als getrennte Ebenen zu bearbeiten. Das Schreiben an das Finanzamt soll nur durch Belege gesicherte Tatsachen enthalten und offene Umrechnungs- oder Deklarationsfragen kenntlich machen.</w:t>
      </w:r>
    </w:p>
    <w:p/>
    <w:p>
      <w:r>
        <w:rPr>
          <w:b/>
        </w:rPr>
        <w:t>Moritz Heller</w:t>
      </w:r>
    </w:p>
    <w:p>
      <w:r>
        <w:t>Steuerberater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Steuerkanzlei Heller und May  |  Steuerberater · Internationales Steuerrecht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Steuerkanzlei Heller und May</w:t>
          </w:r>
          <w:r>
            <w:rPr>
              <w:rFonts w:ascii="Arial" w:hAnsi="Arial"/>
              <w:color w:val="5C6266"/>
              <w:sz w:val="17"/>
            </w:rPr>
            <w:br/>
            <w:t>Steuerberater · Internationales Steuerrecht</w:t>
          </w:r>
        </w:p>
      </w:tc>
      <w:tc>
        <w:tcPr>
          <w:tcW w:type="dxa" w:w="3742"/>
        </w:tcPr>
        <w:p>
          <w:pPr>
            <w:spacing w:after="0"/>
            <w:jc w:val="right"/>
          </w:pPr>
          <w:r>
            <w:rPr>
              <w:rFonts w:ascii="Arial" w:hAnsi="Arial"/>
              <w:color w:val="5C6266"/>
              <w:sz w:val="15"/>
            </w:rPr>
            <w:t>Fürther Straße 98 · 90429 Nürnberg</w:t>
            <w:br/>
            <w:t>Telefon 0911 288 19 20 · kanzlei@heller-may.de</w:t>
            <w:br/>
            <w:t>Mandat HM-2418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