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Niederschrift über die Kassennachschau</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Aktenzeichen</w:t>
            </w:r>
          </w:p>
        </w:tc>
        <w:tc>
          <w:tcPr>
            <w:tcW w:type="dxa" w:w="7313"/>
            <w:vAlign w:val="top"/>
          </w:tcPr>
          <w:p>
            <w:pPr>
              <w:spacing w:after="20"/>
            </w:pPr>
            <w:r>
              <w:rPr>
                <w:rFonts w:ascii="Arial" w:hAnsi="Arial"/>
                <w:sz w:val="18"/>
              </w:rPr>
              <w:t>151/268/04192-KN-26/17</w:t>
            </w:r>
          </w:p>
        </w:tc>
      </w:tr>
      <w:tr>
        <w:tc>
          <w:tcPr>
            <w:tcW w:type="dxa" w:w="1928"/>
            <w:vAlign w:val="top"/>
          </w:tcPr>
          <w:p>
            <w:pPr>
              <w:spacing w:after="20"/>
            </w:pPr>
            <w:r>
              <w:rPr>
                <w:rFonts w:ascii="Arial" w:hAnsi="Arial"/>
                <w:b/>
                <w:color w:val="5C6266"/>
                <w:sz w:val="17"/>
              </w:rPr>
              <w:t>Beginn</w:t>
            </w:r>
          </w:p>
        </w:tc>
        <w:tc>
          <w:tcPr>
            <w:tcW w:type="dxa" w:w="7313"/>
            <w:vAlign w:val="top"/>
          </w:tcPr>
          <w:p>
            <w:pPr>
              <w:spacing w:after="20"/>
            </w:pPr>
            <w:r>
              <w:rPr>
                <w:rFonts w:ascii="Arial" w:hAnsi="Arial"/>
                <w:sz w:val="18"/>
              </w:rPr>
              <w:t>17.06.2026, 10:18 Uhr</w:t>
            </w:r>
          </w:p>
        </w:tc>
      </w:tr>
      <w:tr>
        <w:tc>
          <w:tcPr>
            <w:tcW w:type="dxa" w:w="1928"/>
            <w:vAlign w:val="top"/>
          </w:tcPr>
          <w:p>
            <w:pPr>
              <w:spacing w:after="20"/>
            </w:pPr>
            <w:r>
              <w:rPr>
                <w:rFonts w:ascii="Arial" w:hAnsi="Arial"/>
                <w:b/>
                <w:color w:val="5C6266"/>
                <w:sz w:val="17"/>
              </w:rPr>
              <w:t>Betrieb</w:t>
            </w:r>
          </w:p>
        </w:tc>
        <w:tc>
          <w:tcPr>
            <w:tcW w:type="dxa" w:w="7313"/>
            <w:vAlign w:val="top"/>
          </w:tcPr>
          <w:p>
            <w:pPr>
              <w:spacing w:after="20"/>
            </w:pPr>
            <w:r>
              <w:rPr>
                <w:rFonts w:ascii="Arial" w:hAnsi="Arial"/>
                <w:sz w:val="18"/>
              </w:rPr>
              <w:t>Renner Radwerk, Inhaber Tobias Renner</w:t>
            </w:r>
          </w:p>
        </w:tc>
      </w:tr>
      <w:tr>
        <w:tc>
          <w:tcPr>
            <w:tcW w:type="dxa" w:w="1928"/>
            <w:vAlign w:val="top"/>
          </w:tcPr>
          <w:p>
            <w:pPr>
              <w:spacing w:after="20"/>
            </w:pPr>
            <w:r>
              <w:rPr>
                <w:rFonts w:ascii="Arial" w:hAnsi="Arial"/>
                <w:b/>
                <w:color w:val="5C6266"/>
                <w:sz w:val="17"/>
              </w:rPr>
              <w:t>Prüferin</w:t>
            </w:r>
          </w:p>
        </w:tc>
        <w:tc>
          <w:tcPr>
            <w:tcW w:type="dxa" w:w="7313"/>
            <w:vAlign w:val="top"/>
          </w:tcPr>
          <w:p>
            <w:pPr>
              <w:spacing w:after="20"/>
            </w:pPr>
            <w:r>
              <w:rPr>
                <w:rFonts w:ascii="Arial" w:hAnsi="Arial"/>
                <w:sz w:val="18"/>
              </w:rPr>
              <w:t>Steueramtsfrau Anke Jülich</w:t>
            </w:r>
          </w:p>
        </w:tc>
      </w:tr>
    </w:tbl>
    <w:p>
      <w:pPr>
        <w:spacing w:after="40"/>
      </w:pPr>
    </w:p>
    <w:p>
      <w:pPr>
        <w:pStyle w:val="Heading1"/>
      </w:pPr>
      <w:r>
        <w:t>1. Betreten und angetroffene Personen</w:t>
      </w:r>
    </w:p>
    <w:p>
      <w:pPr>
        <w:widowControl/>
        <w:jc w:val="both"/>
      </w:pPr>
      <w:r>
        <w:t>Die Geschäftsräume waren geöffnet. Im Verkaufsraum befanden sich Tobias Renner, die Verkäuferin Maren Voigt und zwei Kunden. Frau Voigt bediente die Kasse RadoPOS K3. Herr Renner erklärte, dass Baranzahlungen für größere Reparaturen häufig bereits bei Abgabe des Fahrrads geleistet würden; die endgültige Werkstattnummer werde erst am Folgetag vergeben.</w:t>
      </w:r>
    </w:p>
    <w:p>
      <w:pPr>
        <w:widowControl/>
        <w:jc w:val="both"/>
      </w:pPr>
      <w:r>
        <w:t>Der Kassenbestand wurde um 10:27 Uhr gemeinsam gezählt. Vorhanden waren 842.60 EUR. Der elektronische Sollbestand betrug 612.60 EUR. In einer grauen Metallkassette lagen zusätzlich zwei mit Kundennamen beschriftete Umschläge über 150 EUR und 80 EUR. Beide Beträge waren noch nicht im Kassensystem erfasst.</w:t>
      </w:r>
    </w:p>
    <w:p>
      <w:pPr>
        <w:pStyle w:val="Heading1"/>
      </w:pPr>
      <w:r>
        <w:t>2. Datenzugriff und Beobachtungen</w:t>
      </w:r>
    </w:p>
    <w:p>
      <w:pPr>
        <w:widowControl/>
        <w:jc w:val="both"/>
      </w:pPr>
      <w:r>
        <w:t>Der Betrieb übergab einen Export für den Zeitraum 01.05. bis 17.06.2026 auf einem Datenträger. Im System waren am 4. und 11. Juni nachträgliche Stornierungen mit dem Benutzerkonto chef erfolgt. Die zugehörigen Werkstattzettel lagen nicht im Tagesordner. Der Inhaber sagte zu, Auftragskopien, Verfahrensdokumentation und Bedienungsanleitung bis 26.06.2026 einzureichen.</w:t>
      </w:r>
    </w:p>
    <w:p>
      <w:pPr>
        <w:widowControl/>
        <w:jc w:val="both"/>
      </w:pPr>
      <w:r>
        <w:t>Im Hof standen der Transporter EF-RR 412 und ein elektrisches Lastenrad UrbanMuli Cargo 85. Am Lastenrad war ein Kindersitz montiert. Herr Renner erklärte, das Rad werde für Teilefahrten, gelegentlich aber auch für den Weg zur Kindertagesstätte genutzt. Eine gesonderte Fahrtenliste werde dafür nicht geführt.</w:t>
      </w:r>
    </w:p>
    <w:p/>
    <w:p>
      <w:r>
        <w:rPr>
          <w:b/>
        </w:rPr>
        <w:t>Anke Jülich</w:t>
      </w:r>
    </w:p>
    <w:p>
      <w:r>
        <w:t>Steueramtsfrau</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Finanzamt Erfurt  |  Kassennachschau und betriebliche Veranlagung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Finanzamt Erfurt</w:t>
          </w:r>
          <w:r>
            <w:rPr>
              <w:rFonts w:ascii="Arial" w:hAnsi="Arial"/>
              <w:color w:val="5C6266"/>
              <w:sz w:val="17"/>
            </w:rPr>
            <w:br/>
            <w:t>Kassennachschau und betriebliche Veranlagung</w:t>
          </w:r>
        </w:p>
      </w:tc>
      <w:tc>
        <w:tcPr>
          <w:tcW w:type="dxa" w:w="3742"/>
        </w:tcPr>
        <w:p>
          <w:pPr>
            <w:spacing w:after="0"/>
            <w:jc w:val="right"/>
          </w:pPr>
          <w:r>
            <w:rPr>
              <w:rFonts w:ascii="Arial" w:hAnsi="Arial"/>
              <w:color w:val="5C6266"/>
              <w:sz w:val="15"/>
            </w:rPr>
            <w:t>Augustinerstraße 10 · 99084 Erfurt</w:t>
            <w:br/>
            <w:t>Telefon 0361 654 80 0 · Fax 0361 654 80 199</w:t>
            <w:br/>
            <w:t>Postfach 80 04 15 · 99030 Erfurt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