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Lagerzählung zum 31. Mai 2026</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Zählzeit</w:t>
            </w:r>
          </w:p>
        </w:tc>
        <w:tc>
          <w:tcPr>
            <w:tcW w:type="dxa" w:w="7313"/>
            <w:vAlign w:val="top"/>
          </w:tcPr>
          <w:p>
            <w:pPr>
              <w:spacing w:after="20"/>
            </w:pPr>
            <w:r>
              <w:rPr>
                <w:rFonts w:ascii="Arial" w:hAnsi="Arial"/>
                <w:sz w:val="18"/>
              </w:rPr>
              <w:t>31.05.2026, 17:40 bis 20:05 Uhr</w:t>
            </w:r>
          </w:p>
        </w:tc>
      </w:tr>
      <w:tr>
        <w:tc>
          <w:tcPr>
            <w:tcW w:type="dxa" w:w="1928"/>
            <w:vAlign w:val="top"/>
          </w:tcPr>
          <w:p>
            <w:pPr>
              <w:spacing w:after="20"/>
            </w:pPr>
            <w:r>
              <w:rPr>
                <w:rFonts w:ascii="Arial" w:hAnsi="Arial"/>
                <w:b/>
                <w:color w:val="5C6266"/>
                <w:sz w:val="17"/>
              </w:rPr>
              <w:t>Zählteam</w:t>
            </w:r>
          </w:p>
        </w:tc>
        <w:tc>
          <w:tcPr>
            <w:tcW w:type="dxa" w:w="7313"/>
            <w:vAlign w:val="top"/>
          </w:tcPr>
          <w:p>
            <w:pPr>
              <w:spacing w:after="20"/>
            </w:pPr>
            <w:r>
              <w:rPr>
                <w:rFonts w:ascii="Arial" w:hAnsi="Arial"/>
                <w:sz w:val="18"/>
              </w:rPr>
              <w:t>Jens Rößler / Maja Kilian</w:t>
            </w:r>
          </w:p>
        </w:tc>
      </w:tr>
      <w:tr>
        <w:tc>
          <w:tcPr>
            <w:tcW w:type="dxa" w:w="1928"/>
            <w:vAlign w:val="top"/>
          </w:tcPr>
          <w:p>
            <w:pPr>
              <w:spacing w:after="20"/>
            </w:pPr>
            <w:r>
              <w:rPr>
                <w:rFonts w:ascii="Arial" w:hAnsi="Arial"/>
                <w:b/>
                <w:color w:val="5C6266"/>
                <w:sz w:val="17"/>
              </w:rPr>
              <w:t>Lagerorte</w:t>
            </w:r>
          </w:p>
        </w:tc>
        <w:tc>
          <w:tcPr>
            <w:tcW w:type="dxa" w:w="7313"/>
            <w:vAlign w:val="top"/>
          </w:tcPr>
          <w:p>
            <w:pPr>
              <w:spacing w:after="20"/>
            </w:pPr>
            <w:r>
              <w:rPr>
                <w:rFonts w:ascii="Arial" w:hAnsi="Arial"/>
                <w:sz w:val="18"/>
              </w:rPr>
              <w:t>Keller, Werkbankregal, Verkaufswand</w:t>
            </w:r>
          </w:p>
        </w:tc>
      </w:tr>
      <w:tr>
        <w:tc>
          <w:tcPr>
            <w:tcW w:type="dxa" w:w="1928"/>
            <w:vAlign w:val="top"/>
          </w:tcPr>
          <w:p>
            <w:pPr>
              <w:spacing w:after="20"/>
            </w:pPr>
            <w:r>
              <w:rPr>
                <w:rFonts w:ascii="Arial" w:hAnsi="Arial"/>
                <w:b/>
                <w:color w:val="5C6266"/>
                <w:sz w:val="17"/>
              </w:rPr>
              <w:t>Bezug</w:t>
            </w:r>
          </w:p>
        </w:tc>
        <w:tc>
          <w:tcPr>
            <w:tcW w:type="dxa" w:w="7313"/>
            <w:vAlign w:val="top"/>
          </w:tcPr>
          <w:p>
            <w:pPr>
              <w:spacing w:after="20"/>
            </w:pPr>
            <w:r>
              <w:rPr>
                <w:rFonts w:ascii="Arial" w:hAnsi="Arial"/>
                <w:sz w:val="18"/>
              </w:rPr>
              <w:t>Liste RW-LG-0526</w:t>
            </w:r>
          </w:p>
        </w:tc>
      </w:tr>
    </w:tbl>
    <w:p>
      <w:pPr>
        <w:spacing w:after="40"/>
      </w:pPr>
    </w:p>
    <w:p>
      <w:pPr>
        <w:pStyle w:val="Heading1"/>
      </w:pPr>
      <w:r>
        <w:t>1. Zählverlauf</w:t>
      </w:r>
    </w:p>
    <w:p>
      <w:pPr>
        <w:widowControl/>
        <w:jc w:val="both"/>
      </w:pPr>
      <w:r>
        <w:t>Die Zählung begann nach Ladenschluss. Ketten, Bremsbeläge und Schläuche wurden stückweise erfasst. Bei offenen Werkstattaufträgen lagen Teile teils bereits in beschrifteten Körben; diese wurden dem Lager zugerechnet, wenn noch keine Rechnung geschrieben war. Drei Kartons Schläuche waren durch einen Wassereintritt verschmutzt. Ob alle 48 Stück unverkäuflich waren, blieb bei der Zählung offen.</w:t>
      </w:r>
    </w:p>
    <w:p>
      <w:pPr>
        <w:widowControl/>
        <w:jc w:val="both"/>
      </w:pPr>
      <w:r>
        <w:t>Im Keller standen vier vom Großhändler bereits gutgeschriebene Akkus, die noch nicht abgeholt worden waren. Zwei hochwertige Schaltwerke waren laut Software vorhanden, im Regal jedoch nicht auffindbar. Maja Kilian erinnerte sich an Einbauten in die Aufträge 2605127 und 2605131; beide Aufträge waren am Zähltag noch nicht fakturiert.</w:t>
      </w:r>
    </w:p>
    <w:p>
      <w:pPr>
        <w:pStyle w:val="Heading1"/>
      </w:pPr>
      <w:r>
        <w:t>2. Abweichungen und Eigenentnahmen</w:t>
      </w:r>
    </w:p>
    <w:p>
      <w:pPr>
        <w:widowControl/>
        <w:jc w:val="both"/>
      </w:pPr>
      <w:r>
        <w:t>Der Inhaber entnahm im April einen Kinderhelm und zwei Schläuche für Fahrräder seiner Familie. Auf dem gelben Entnahmeblock findet sich nur der Helm. Werkstattleiter Rößler nahm am 29. Mai eine Kette für sein eigenes Rad mit und legte 25 EUR in die Kaffeekasse. Der Verkaufspreis im System betrug 39.90 EUR.</w:t>
      </w:r>
    </w:p>
    <w:p>
      <w:pPr>
        <w:widowControl/>
        <w:jc w:val="both"/>
      </w:pPr>
      <w:r>
        <w:t>Die Differenzen wurden nicht nachträglich bereinigt. Der unterschriebene Rohzählbogen blieb im roten Lagerordner; die elektronische Liste wurde am 2. Juni durch Tobias Renner aus den handschriftlichen Mengen übertragen.</w:t>
      </w:r>
    </w:p>
    <w:p>
      <w:pPr>
        <w:pStyle w:val="Heading1"/>
      </w:pPr>
      <w:r>
        <w:t>3. Auffällige Positionen</w:t>
      </w:r>
    </w:p>
    <w:tbl>
      <w:tblPr>
        <w:tblStyle w:val="TableGrid"/>
        <w:tblW w:type="auto" w:w="0"/>
        <w:jc w:val="left"/>
        <w:tblLayout w:type="fixed"/>
        <w:tblLook w:firstColumn="1" w:firstRow="1" w:lastColumn="0" w:lastRow="0" w:noHBand="0" w:noVBand="1" w:val="04A0"/>
      </w:tblPr>
      <w:tblGrid>
        <w:gridCol w:w="2310"/>
        <w:gridCol w:w="2310"/>
        <w:gridCol w:w="2310"/>
        <w:gridCol w:w="2310"/>
      </w:tblGrid>
      <w:tr>
        <w:trPr>
          <w:tblHeader w:val="true"/>
        </w:trPr>
        <w:tc>
          <w:tcPr>
            <w:tcW w:type="dxa" w:w="2381"/>
            <w:shd w:fill="E8EEF1"/>
          </w:tcPr>
          <w:p>
            <w:pPr>
              <w:spacing w:after="20"/>
            </w:pPr>
            <w:r>
              <w:rPr>
                <w:rFonts w:ascii="Arial" w:hAnsi="Arial"/>
                <w:b/>
                <w:sz w:val="17"/>
              </w:rPr>
              <w:t>Artikel</w:t>
            </w:r>
          </w:p>
        </w:tc>
        <w:tc>
          <w:tcPr>
            <w:tcW w:type="dxa" w:w="1247"/>
            <w:shd w:fill="E8EEF1"/>
          </w:tcPr>
          <w:p>
            <w:pPr>
              <w:spacing w:after="20"/>
            </w:pPr>
            <w:r>
              <w:rPr>
                <w:rFonts w:ascii="Arial" w:hAnsi="Arial"/>
                <w:b/>
                <w:sz w:val="17"/>
              </w:rPr>
              <w:t>Soll</w:t>
            </w:r>
          </w:p>
        </w:tc>
        <w:tc>
          <w:tcPr>
            <w:tcW w:type="dxa" w:w="1247"/>
            <w:shd w:fill="E8EEF1"/>
          </w:tcPr>
          <w:p>
            <w:pPr>
              <w:spacing w:after="20"/>
            </w:pPr>
            <w:r>
              <w:rPr>
                <w:rFonts w:ascii="Arial" w:hAnsi="Arial"/>
                <w:b/>
                <w:sz w:val="17"/>
              </w:rPr>
              <w:t>Gezählt</w:t>
            </w:r>
          </w:p>
        </w:tc>
        <w:tc>
          <w:tcPr>
            <w:tcW w:type="dxa" w:w="4365"/>
            <w:shd w:fill="E8EEF1"/>
          </w:tcPr>
          <w:p>
            <w:pPr>
              <w:spacing w:after="20"/>
            </w:pPr>
            <w:r>
              <w:rPr>
                <w:rFonts w:ascii="Arial" w:hAnsi="Arial"/>
                <w:b/>
                <w:sz w:val="17"/>
              </w:rPr>
              <w:t>Hinweis</w:t>
            </w:r>
          </w:p>
        </w:tc>
      </w:tr>
      <w:tr>
        <w:tc>
          <w:tcPr>
            <w:tcW w:type="dxa" w:w="2381"/>
            <w:vAlign w:val="top"/>
          </w:tcPr>
          <w:p>
            <w:pPr>
              <w:spacing w:after="20"/>
            </w:pPr>
            <w:r>
              <w:rPr>
                <w:rFonts w:ascii="Times New Roman" w:hAnsi="Times New Roman"/>
                <w:sz w:val="18"/>
              </w:rPr>
              <w:t>Bremsbelag BR-44</w:t>
            </w:r>
          </w:p>
        </w:tc>
        <w:tc>
          <w:tcPr>
            <w:tcW w:type="dxa" w:w="1247"/>
            <w:vAlign w:val="top"/>
          </w:tcPr>
          <w:p>
            <w:pPr>
              <w:spacing w:after="20"/>
            </w:pPr>
            <w:r>
              <w:rPr>
                <w:rFonts w:ascii="Times New Roman" w:hAnsi="Times New Roman"/>
                <w:sz w:val="18"/>
              </w:rPr>
              <w:t>36</w:t>
            </w:r>
          </w:p>
        </w:tc>
        <w:tc>
          <w:tcPr>
            <w:tcW w:type="dxa" w:w="1247"/>
            <w:vAlign w:val="top"/>
          </w:tcPr>
          <w:p>
            <w:pPr>
              <w:spacing w:after="20"/>
            </w:pPr>
            <w:r>
              <w:rPr>
                <w:rFonts w:ascii="Times New Roman" w:hAnsi="Times New Roman"/>
                <w:sz w:val="18"/>
              </w:rPr>
              <w:t>29</w:t>
            </w:r>
          </w:p>
        </w:tc>
        <w:tc>
          <w:tcPr>
            <w:tcW w:type="dxa" w:w="4365"/>
            <w:vAlign w:val="top"/>
          </w:tcPr>
          <w:p>
            <w:pPr>
              <w:spacing w:after="20"/>
            </w:pPr>
            <w:r>
              <w:rPr>
                <w:rFonts w:ascii="Times New Roman" w:hAnsi="Times New Roman"/>
                <w:sz w:val="18"/>
              </w:rPr>
              <w:t>mehrere offene Aufträge</w:t>
            </w:r>
          </w:p>
        </w:tc>
      </w:tr>
      <w:tr>
        <w:tc>
          <w:tcPr>
            <w:tcW w:type="dxa" w:w="2381"/>
            <w:vAlign w:val="top"/>
          </w:tcPr>
          <w:p>
            <w:pPr>
              <w:spacing w:after="20"/>
            </w:pPr>
            <w:r>
              <w:rPr>
                <w:rFonts w:ascii="Times New Roman" w:hAnsi="Times New Roman"/>
                <w:sz w:val="18"/>
              </w:rPr>
              <w:t>Schlauch 28 Zoll</w:t>
            </w:r>
          </w:p>
        </w:tc>
        <w:tc>
          <w:tcPr>
            <w:tcW w:type="dxa" w:w="1247"/>
            <w:vAlign w:val="top"/>
          </w:tcPr>
          <w:p>
            <w:pPr>
              <w:spacing w:after="20"/>
            </w:pPr>
            <w:r>
              <w:rPr>
                <w:rFonts w:ascii="Times New Roman" w:hAnsi="Times New Roman"/>
                <w:sz w:val="18"/>
              </w:rPr>
              <w:t>92</w:t>
            </w:r>
          </w:p>
        </w:tc>
        <w:tc>
          <w:tcPr>
            <w:tcW w:type="dxa" w:w="1247"/>
            <w:vAlign w:val="top"/>
          </w:tcPr>
          <w:p>
            <w:pPr>
              <w:spacing w:after="20"/>
            </w:pPr>
            <w:r>
              <w:rPr>
                <w:rFonts w:ascii="Times New Roman" w:hAnsi="Times New Roman"/>
                <w:sz w:val="18"/>
              </w:rPr>
              <w:t>44</w:t>
            </w:r>
          </w:p>
        </w:tc>
        <w:tc>
          <w:tcPr>
            <w:tcW w:type="dxa" w:w="4365"/>
            <w:vAlign w:val="top"/>
          </w:tcPr>
          <w:p>
            <w:pPr>
              <w:spacing w:after="20"/>
            </w:pPr>
            <w:r>
              <w:rPr>
                <w:rFonts w:ascii="Times New Roman" w:hAnsi="Times New Roman"/>
                <w:sz w:val="18"/>
              </w:rPr>
              <w:t>48 Stück Wasserschaden</w:t>
            </w:r>
          </w:p>
        </w:tc>
      </w:tr>
      <w:tr>
        <w:tc>
          <w:tcPr>
            <w:tcW w:type="dxa" w:w="2381"/>
            <w:vAlign w:val="top"/>
          </w:tcPr>
          <w:p>
            <w:pPr>
              <w:spacing w:after="20"/>
            </w:pPr>
            <w:r>
              <w:rPr>
                <w:rFonts w:ascii="Times New Roman" w:hAnsi="Times New Roman"/>
                <w:sz w:val="18"/>
              </w:rPr>
              <w:t>Schaltwerk GX-12</w:t>
            </w:r>
          </w:p>
        </w:tc>
        <w:tc>
          <w:tcPr>
            <w:tcW w:type="dxa" w:w="1247"/>
            <w:vAlign w:val="top"/>
          </w:tcPr>
          <w:p>
            <w:pPr>
              <w:spacing w:after="20"/>
            </w:pPr>
            <w:r>
              <w:rPr>
                <w:rFonts w:ascii="Times New Roman" w:hAnsi="Times New Roman"/>
                <w:sz w:val="18"/>
              </w:rPr>
              <w:t>2</w:t>
            </w:r>
          </w:p>
        </w:tc>
        <w:tc>
          <w:tcPr>
            <w:tcW w:type="dxa" w:w="1247"/>
            <w:vAlign w:val="top"/>
          </w:tcPr>
          <w:p>
            <w:pPr>
              <w:spacing w:after="20"/>
            </w:pPr>
            <w:r>
              <w:rPr>
                <w:rFonts w:ascii="Times New Roman" w:hAnsi="Times New Roman"/>
                <w:sz w:val="18"/>
              </w:rPr>
              <w:t>0</w:t>
            </w:r>
          </w:p>
        </w:tc>
        <w:tc>
          <w:tcPr>
            <w:tcW w:type="dxa" w:w="4365"/>
            <w:vAlign w:val="top"/>
          </w:tcPr>
          <w:p>
            <w:pPr>
              <w:spacing w:after="20"/>
            </w:pPr>
            <w:r>
              <w:rPr>
                <w:rFonts w:ascii="Times New Roman" w:hAnsi="Times New Roman"/>
                <w:sz w:val="18"/>
              </w:rPr>
              <w:t>Aufträge 2605127/2605131</w:t>
            </w:r>
          </w:p>
        </w:tc>
      </w:tr>
      <w:tr>
        <w:tc>
          <w:tcPr>
            <w:tcW w:type="dxa" w:w="2381"/>
            <w:vAlign w:val="top"/>
          </w:tcPr>
          <w:p>
            <w:pPr>
              <w:spacing w:after="20"/>
            </w:pPr>
            <w:r>
              <w:rPr>
                <w:rFonts w:ascii="Times New Roman" w:hAnsi="Times New Roman"/>
                <w:sz w:val="18"/>
              </w:rPr>
              <w:t>Akku VeloPower 500</w:t>
            </w:r>
          </w:p>
        </w:tc>
        <w:tc>
          <w:tcPr>
            <w:tcW w:type="dxa" w:w="1247"/>
            <w:vAlign w:val="top"/>
          </w:tcPr>
          <w:p>
            <w:pPr>
              <w:spacing w:after="20"/>
            </w:pPr>
            <w:r>
              <w:rPr>
                <w:rFonts w:ascii="Times New Roman" w:hAnsi="Times New Roman"/>
                <w:sz w:val="18"/>
              </w:rPr>
              <w:t>4</w:t>
            </w:r>
          </w:p>
        </w:tc>
        <w:tc>
          <w:tcPr>
            <w:tcW w:type="dxa" w:w="1247"/>
            <w:vAlign w:val="top"/>
          </w:tcPr>
          <w:p>
            <w:pPr>
              <w:spacing w:after="20"/>
            </w:pPr>
            <w:r>
              <w:rPr>
                <w:rFonts w:ascii="Times New Roman" w:hAnsi="Times New Roman"/>
                <w:sz w:val="18"/>
              </w:rPr>
              <w:t>4</w:t>
            </w:r>
          </w:p>
        </w:tc>
        <w:tc>
          <w:tcPr>
            <w:tcW w:type="dxa" w:w="4365"/>
            <w:vAlign w:val="top"/>
          </w:tcPr>
          <w:p>
            <w:pPr>
              <w:spacing w:after="20"/>
            </w:pPr>
            <w:r>
              <w:rPr>
                <w:rFonts w:ascii="Times New Roman" w:hAnsi="Times New Roman"/>
                <w:sz w:val="18"/>
              </w:rPr>
              <w:t>Gutschrift bereits erteilt</w:t>
            </w:r>
          </w:p>
        </w:tc>
      </w:tr>
      <w:tr>
        <w:tc>
          <w:tcPr>
            <w:tcW w:type="dxa" w:w="2381"/>
            <w:vAlign w:val="top"/>
          </w:tcPr>
          <w:p>
            <w:pPr>
              <w:spacing w:after="20"/>
            </w:pPr>
            <w:r>
              <w:rPr>
                <w:rFonts w:ascii="Times New Roman" w:hAnsi="Times New Roman"/>
                <w:sz w:val="18"/>
              </w:rPr>
              <w:t>Kinderhelm Pico blau</w:t>
            </w:r>
          </w:p>
        </w:tc>
        <w:tc>
          <w:tcPr>
            <w:tcW w:type="dxa" w:w="1247"/>
            <w:vAlign w:val="top"/>
          </w:tcPr>
          <w:p>
            <w:pPr>
              <w:spacing w:after="20"/>
            </w:pPr>
            <w:r>
              <w:rPr>
                <w:rFonts w:ascii="Times New Roman" w:hAnsi="Times New Roman"/>
                <w:sz w:val="18"/>
              </w:rPr>
              <w:t>3</w:t>
            </w:r>
          </w:p>
        </w:tc>
        <w:tc>
          <w:tcPr>
            <w:tcW w:type="dxa" w:w="1247"/>
            <w:vAlign w:val="top"/>
          </w:tcPr>
          <w:p>
            <w:pPr>
              <w:spacing w:after="20"/>
            </w:pPr>
            <w:r>
              <w:rPr>
                <w:rFonts w:ascii="Times New Roman" w:hAnsi="Times New Roman"/>
                <w:sz w:val="18"/>
              </w:rPr>
              <w:t>2</w:t>
            </w:r>
          </w:p>
        </w:tc>
        <w:tc>
          <w:tcPr>
            <w:tcW w:type="dxa" w:w="4365"/>
            <w:vAlign w:val="top"/>
          </w:tcPr>
          <w:p>
            <w:pPr>
              <w:spacing w:after="20"/>
            </w:pPr>
            <w:r>
              <w:rPr>
                <w:rFonts w:ascii="Times New Roman" w:hAnsi="Times New Roman"/>
                <w:sz w:val="18"/>
              </w:rPr>
              <w:t>Entnahme Inhaber</w:t>
            </w:r>
          </w:p>
        </w:tc>
      </w:tr>
    </w:tbl>
    <w:p>
      <w:pPr>
        <w:spacing w:after="20"/>
      </w:pPr>
    </w:p>
    <w:p/>
    <w:p>
      <w:r>
        <w:rPr>
          <w:b/>
        </w:rPr>
        <w:t>Jens Rößler</w:t>
      </w:r>
    </w:p>
    <w:p>
      <w:r>
        <w:t>Werkstattleiter</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Renner Radwerk  |  Lager und Werkstatt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Renner Radwerk</w:t>
          </w:r>
          <w:r>
            <w:rPr>
              <w:rFonts w:ascii="Arial" w:hAnsi="Arial"/>
              <w:color w:val="5C6266"/>
              <w:sz w:val="17"/>
            </w:rPr>
            <w:br/>
            <w:t>Lager und Werkstatt</w:t>
          </w:r>
        </w:p>
      </w:tc>
      <w:tc>
        <w:tcPr>
          <w:tcW w:type="dxa" w:w="3742"/>
        </w:tcPr>
        <w:p>
          <w:pPr>
            <w:spacing w:after="0"/>
            <w:jc w:val="right"/>
          </w:pPr>
          <w:r>
            <w:rPr>
              <w:rFonts w:ascii="Arial" w:hAnsi="Arial"/>
              <w:color w:val="5C6266"/>
              <w:sz w:val="15"/>
            </w:rPr>
            <w:t>Anger 61 · 99084 Erfurt</w:t>
            <w:br/>
            <w:t>Telefon 0361 218 44 70 · Fax 0361 218 44 79</w:t>
            <w:br/>
            <w:t>buero@renner-radwerk.de · Steuernummer 151/268/04192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