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40"/>
      </w:pPr>
      <w:r>
        <w:rPr>
          <w:rFonts w:ascii="Arial" w:hAnsi="Arial"/>
          <w:b/>
          <w:color w:val="01696F"/>
          <w:sz w:val="34"/>
        </w:rPr>
        <w:t>Nachtrag zum Geschäftsführeranstellungsvertrag</w:t>
      </w:r>
    </w:p>
    <w:tbl>
      <w:tblPr>
        <w:tblW w:type="auto" w:w="0"/>
        <w:jc w:val="left"/>
        <w:tblLayout w:type="fixed"/>
        <w:tblLook w:firstColumn="1" w:firstRow="1" w:lastColumn="0" w:lastRow="0" w:noHBand="0" w:noVBand="1" w:val="04A0"/>
      </w:tblPr>
      <w:tblGrid>
        <w:gridCol w:w="4620"/>
        <w:gridCol w:w="4620"/>
      </w:tblGrid>
      <w:tr>
        <w:tc>
          <w:tcPr>
            <w:tcW w:type="dxa" w:w="1928"/>
            <w:vAlign w:val="top"/>
          </w:tcPr>
          <w:p>
            <w:pPr>
              <w:spacing w:after="20"/>
            </w:pPr>
            <w:r>
              <w:rPr>
                <w:rFonts w:ascii="Arial" w:hAnsi="Arial"/>
                <w:b/>
                <w:color w:val="5C6266"/>
                <w:sz w:val="17"/>
              </w:rPr>
              <w:t>Geschäftsführer</w:t>
            </w:r>
          </w:p>
        </w:tc>
        <w:tc>
          <w:tcPr>
            <w:tcW w:type="dxa" w:w="7313"/>
            <w:vAlign w:val="top"/>
          </w:tcPr>
          <w:p>
            <w:pPr>
              <w:spacing w:after="20"/>
            </w:pPr>
            <w:r>
              <w:rPr>
                <w:rFonts w:ascii="Arial" w:hAnsi="Arial"/>
                <w:sz w:val="18"/>
              </w:rPr>
              <w:t>Henrik Mertens</w:t>
            </w:r>
          </w:p>
        </w:tc>
      </w:tr>
      <w:tr>
        <w:tc>
          <w:tcPr>
            <w:tcW w:type="dxa" w:w="1928"/>
            <w:vAlign w:val="top"/>
          </w:tcPr>
          <w:p>
            <w:pPr>
              <w:spacing w:after="20"/>
            </w:pPr>
            <w:r>
              <w:rPr>
                <w:rFonts w:ascii="Arial" w:hAnsi="Arial"/>
                <w:b/>
                <w:color w:val="5C6266"/>
                <w:sz w:val="17"/>
              </w:rPr>
              <w:t>Beschluss</w:t>
            </w:r>
          </w:p>
        </w:tc>
        <w:tc>
          <w:tcPr>
            <w:tcW w:type="dxa" w:w="7313"/>
            <w:vAlign w:val="top"/>
          </w:tcPr>
          <w:p>
            <w:pPr>
              <w:spacing w:after="20"/>
            </w:pPr>
            <w:r>
              <w:rPr>
                <w:rFonts w:ascii="Arial" w:hAnsi="Arial"/>
                <w:sz w:val="18"/>
              </w:rPr>
              <w:t>15.12.2023</w:t>
            </w:r>
          </w:p>
        </w:tc>
      </w:tr>
      <w:tr>
        <w:tc>
          <w:tcPr>
            <w:tcW w:type="dxa" w:w="1928"/>
            <w:vAlign w:val="top"/>
          </w:tcPr>
          <w:p>
            <w:pPr>
              <w:spacing w:after="20"/>
            </w:pPr>
            <w:r>
              <w:rPr>
                <w:rFonts w:ascii="Arial" w:hAnsi="Arial"/>
                <w:b/>
                <w:color w:val="5C6266"/>
                <w:sz w:val="17"/>
              </w:rPr>
              <w:t>Gültig</w:t>
            </w:r>
          </w:p>
        </w:tc>
        <w:tc>
          <w:tcPr>
            <w:tcW w:type="dxa" w:w="7313"/>
            <w:vAlign w:val="top"/>
          </w:tcPr>
          <w:p>
            <w:pPr>
              <w:spacing w:after="20"/>
            </w:pPr>
            <w:r>
              <w:rPr>
                <w:rFonts w:ascii="Arial" w:hAnsi="Arial"/>
                <w:sz w:val="18"/>
              </w:rPr>
              <w:t>ab 01.01.2024</w:t>
            </w:r>
          </w:p>
        </w:tc>
      </w:tr>
      <w:tr>
        <w:tc>
          <w:tcPr>
            <w:tcW w:type="dxa" w:w="1928"/>
            <w:vAlign w:val="top"/>
          </w:tcPr>
          <w:p>
            <w:pPr>
              <w:spacing w:after="20"/>
            </w:pPr>
            <w:r>
              <w:rPr>
                <w:rFonts w:ascii="Arial" w:hAnsi="Arial"/>
                <w:b/>
                <w:color w:val="5C6266"/>
                <w:sz w:val="17"/>
              </w:rPr>
              <w:t>Unterzeichnung</w:t>
            </w:r>
          </w:p>
        </w:tc>
        <w:tc>
          <w:tcPr>
            <w:tcW w:type="dxa" w:w="7313"/>
            <w:vAlign w:val="top"/>
          </w:tcPr>
          <w:p>
            <w:pPr>
              <w:spacing w:after="20"/>
            </w:pPr>
            <w:r>
              <w:rPr>
                <w:rFonts w:ascii="Arial" w:hAnsi="Arial"/>
                <w:sz w:val="18"/>
              </w:rPr>
              <w:t>18.12.2023</w:t>
            </w:r>
          </w:p>
        </w:tc>
      </w:tr>
    </w:tbl>
    <w:p>
      <w:pPr>
        <w:spacing w:after="40"/>
      </w:pPr>
    </w:p>
    <w:p>
      <w:pPr>
        <w:pStyle w:val="Heading1"/>
      </w:pPr>
      <w:r>
        <w:t>1. Vergütung</w:t>
      </w:r>
    </w:p>
    <w:p>
      <w:pPr>
        <w:widowControl/>
        <w:jc w:val="both"/>
      </w:pPr>
      <w:r>
        <w:t>Das feste Monatsgehalt beträgt 9200 EUR brutto und wird jeweils am letzten Bankarbeitstag gezahlt. Hinzu kommen eine Tantieme von 18 Prozent des handelsrechtlichen Jahresüberschusses vor Ertragsteuern und vor Tantieme, höchstens jedoch 45 Prozent der festen Jahresvergütung. Verlustvorträge aus Vorjahren werden bei der Berechnung berücksichtigt.</w:t>
      </w:r>
    </w:p>
    <w:p>
      <w:pPr>
        <w:widowControl/>
        <w:jc w:val="both"/>
      </w:pPr>
      <w:r>
        <w:t>Für 2024 wurde die Tantieme am 28. März 2025 mit 38640 EUR berechnet und am 2. April ausgezahlt. Für 2025 beschloss der Gesellschafter am 19. Dezember 2025 eine Abschlagszahlung von 30000 EUR, obwohl der Jahresabschluss noch nicht vorlag. Der Vertrag enthält keine Regelung über Abschläge.</w:t>
      </w:r>
    </w:p>
    <w:p>
      <w:pPr>
        <w:pStyle w:val="Heading1"/>
      </w:pPr>
      <w:r>
        <w:t>2. Fahrzeug und Aufwendungen</w:t>
      </w:r>
    </w:p>
    <w:p>
      <w:pPr>
        <w:widowControl/>
        <w:jc w:val="both"/>
      </w:pPr>
      <w:r>
        <w:t>Die Gesellschaft überlässt dem Geschäftsführer den BMW X5 auch zur privaten Nutzung. Kraftstoff, Versicherung und Wartung trägt die Gesellschaft. Fahrten zwischen Wohnung und Betrieb werden nicht gesondert aufgezeichnet. Urlaubsfahrten ins Ausland bedürfen einer kurzen Mitteilung an die Buchhaltung.</w:t>
      </w:r>
    </w:p>
    <w:p>
      <w:pPr>
        <w:widowControl/>
        <w:jc w:val="both"/>
      </w:pPr>
      <w:r>
        <w:t>Reisekosten werden nach den für Arbeitnehmer geltenden Sätzen ersetzt. Bewirtungsbelege müssen Anlass und Teilnehmer nennen. Für private Baumaterialien kann der Geschäftsführer den Einkauf der Gesellschaft nutzen; die Weiterberechnung soll zum Einkaufspreis zuzüglich Umsatzsteuer erfolgen.</w:t>
      </w:r>
    </w:p>
    <w:p/>
    <w:p>
      <w:r>
        <w:rPr>
          <w:b/>
        </w:rPr>
        <w:t>Henrik Mertens</w:t>
      </w:r>
    </w:p>
    <w:p>
      <w:r>
        <w:t>Gesellschafter und Geschäftsführer</w:t>
      </w:r>
    </w:p>
    <w:sectPr w:rsidR="00FC693F" w:rsidRPr="0006063C" w:rsidSect="00034616">
      <w:headerReference w:type="default" r:id="rId9"/>
      <w:footerReference w:type="default" r:id="rId10"/>
      <w:pgSz w:w="11906" w:h="16838"/>
      <w:pgMar w:top="1332" w:right="1276" w:bottom="1247" w:left="1389" w:header="454" w:footer="51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rial" w:hAnsi="Arial"/>
        <w:color w:val="5C6266"/>
        <w:sz w:val="15"/>
      </w:rPr>
      <w:t xml:space="preserve">Mertens Wärmebau GmbH  |  Heizung · Sanitär · Wärmepumpen  |  Seite </w:t>
    </w:r>
    <w:r>
      <w:fldChar w:fldCharType="begin"/>
      <w:instrText xml:space="preserve"> PAGE </w:instrText>
      <w:fldChar w:fldCharType="separate"/>
      <w:t>1</w: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Bdr>
        <w:bottom w:val="single" w:sz="8" w:space="4" w:color="01696F"/>
      </w:pBdr>
    </w:pPr>
  </w:p>
  <w:tbl>
    <w:tblPr>
      <w:tblW w:type="auto" w:w="0"/>
      <w:jc w:val="left"/>
      <w:tblLayout w:type="fixed"/>
      <w:tblLook w:firstColumn="1" w:firstRow="1" w:lastColumn="0" w:lastRow="0" w:noHBand="0" w:noVBand="1" w:val="04A0"/>
    </w:tblPr>
    <w:tblGrid>
      <w:gridCol w:w="5499"/>
      <w:gridCol w:w="3742"/>
    </w:tblGrid>
    <w:tr>
      <w:tc>
        <w:tcPr>
          <w:tcW w:type="dxa" w:w="5499"/>
        </w:tcPr>
        <w:p>
          <w:pPr>
            <w:spacing w:after="0"/>
          </w:pPr>
          <w:r>
            <w:rPr>
              <w:rFonts w:ascii="Arial" w:hAnsi="Arial"/>
              <w:b/>
              <w:color w:val="01696F"/>
              <w:sz w:val="25"/>
            </w:rPr>
            <w:t>Mertens Wärmebau GmbH</w:t>
          </w:r>
          <w:r>
            <w:rPr>
              <w:rFonts w:ascii="Arial" w:hAnsi="Arial"/>
              <w:color w:val="5C6266"/>
              <w:sz w:val="17"/>
            </w:rPr>
            <w:br/>
            <w:t>Heizung · Sanitär · Wärmepumpen</w:t>
          </w:r>
        </w:p>
      </w:tc>
      <w:tc>
        <w:tcPr>
          <w:tcW w:type="dxa" w:w="3742"/>
        </w:tcPr>
        <w:p>
          <w:pPr>
            <w:spacing w:after="0"/>
            <w:jc w:val="right"/>
          </w:pPr>
          <w:r>
            <w:rPr>
              <w:rFonts w:ascii="Arial" w:hAnsi="Arial"/>
              <w:color w:val="5C6266"/>
              <w:sz w:val="15"/>
            </w:rPr>
            <w:t>Laubanger 12 · 96052 Bamberg</w:t>
            <w:br/>
            <w:t>Telefon 0951 208 71 40 · Fax 0951 208 71 49</w:t>
            <w:br/>
            <w:t>buero@mertens-waermebau.de · HRB 10844 AG Bamberg</w:t>
          </w:r>
        </w:p>
      </w:tc>
    </w:tr>
  </w:tbl>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59" w:lineRule="auto"/>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80"/>
      <w:outlineLvl w:val="0"/>
    </w:pPr>
    <w:rPr>
      <w:rFonts w:asciiTheme="majorHAnsi" w:eastAsiaTheme="majorEastAsia" w:hAnsiTheme="majorHAnsi" w:cstheme="majorBidi" w:ascii="Times New Roman" w:hAnsi="Times New Roman"/>
      <w:b/>
      <w:bCs/>
      <w:color w:val="01696F"/>
      <w:sz w:val="28"/>
      <w:szCs w:val="28"/>
    </w:rPr>
  </w:style>
  <w:style w:type="paragraph" w:styleId="Heading2">
    <w:name w:val="heading 2"/>
    <w:basedOn w:val="Normal"/>
    <w:next w:val="Normal"/>
    <w:link w:val="Heading2Char"/>
    <w:uiPriority w:val="9"/>
    <w:unhideWhenUsed/>
    <w:qFormat/>
    <w:rsid w:val="00FC693F"/>
    <w:pPr>
      <w:keepNext/>
      <w:keepLines/>
      <w:spacing w:before="200" w:after="80"/>
      <w:outlineLvl w:val="1"/>
    </w:pPr>
    <w:rPr>
      <w:rFonts w:asciiTheme="majorHAnsi" w:eastAsiaTheme="majorEastAsia" w:hAnsiTheme="majorHAnsi" w:cstheme="majorBidi" w:ascii="Times New Roman" w:hAnsi="Times New Roman"/>
      <w:b/>
      <w:bCs/>
      <w:color w:val="01696F"/>
      <w:sz w:val="24"/>
      <w:szCs w:val="26"/>
    </w:rPr>
  </w:style>
  <w:style w:type="paragraph" w:styleId="Heading3">
    <w:name w:val="heading 3"/>
    <w:basedOn w:val="Normal"/>
    <w:next w:val="Normal"/>
    <w:link w:val="Heading3Char"/>
    <w:uiPriority w:val="9"/>
    <w:unhideWhenUsed/>
    <w:qFormat/>
    <w:rsid w:val="00FC693F"/>
    <w:pPr>
      <w:keepNext/>
      <w:keepLines/>
      <w:spacing w:before="200" w:after="80"/>
      <w:outlineLvl w:val="2"/>
    </w:pPr>
    <w:rPr>
      <w:rFonts w:asciiTheme="majorHAnsi" w:eastAsiaTheme="majorEastAsia" w:hAnsiTheme="majorHAnsi" w:cstheme="majorBidi" w:ascii="Times New Roman" w:hAnsi="Times New Roman"/>
      <w:b/>
      <w:bCs/>
      <w:color w:val="01696F"/>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