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Personal- und Freigaberegelung 2025</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Team</w:t>
            </w:r>
          </w:p>
        </w:tc>
        <w:tc>
          <w:tcPr>
            <w:tcW w:type="dxa" w:w="7313"/>
            <w:vAlign w:val="top"/>
          </w:tcPr>
          <w:p>
            <w:pPr>
              <w:spacing w:after="20"/>
            </w:pPr>
            <w:r>
              <w:rPr>
                <w:rFonts w:ascii="Arial" w:hAnsi="Arial"/>
                <w:sz w:val="18"/>
              </w:rPr>
              <w:t>Eva Langen / Lena Kapp / Fabian Kurz / Mira Enders</w:t>
            </w:r>
          </w:p>
        </w:tc>
      </w:tr>
      <w:tr>
        <w:tc>
          <w:tcPr>
            <w:tcW w:type="dxa" w:w="1928"/>
            <w:vAlign w:val="top"/>
          </w:tcPr>
          <w:p>
            <w:pPr>
              <w:spacing w:after="20"/>
            </w:pPr>
            <w:r>
              <w:rPr>
                <w:rFonts w:ascii="Arial" w:hAnsi="Arial"/>
                <w:b/>
                <w:color w:val="5C6266"/>
                <w:sz w:val="17"/>
              </w:rPr>
              <w:t>Gültig</w:t>
            </w:r>
          </w:p>
        </w:tc>
        <w:tc>
          <w:tcPr>
            <w:tcW w:type="dxa" w:w="7313"/>
            <w:vAlign w:val="top"/>
          </w:tcPr>
          <w:p>
            <w:pPr>
              <w:spacing w:after="20"/>
            </w:pPr>
            <w:r>
              <w:rPr>
                <w:rFonts w:ascii="Arial" w:hAnsi="Arial"/>
                <w:sz w:val="18"/>
              </w:rPr>
              <w:t>ab 01.02.2025</w:t>
            </w:r>
          </w:p>
        </w:tc>
      </w:tr>
      <w:tr>
        <w:tc>
          <w:tcPr>
            <w:tcW w:type="dxa" w:w="1928"/>
            <w:vAlign w:val="top"/>
          </w:tcPr>
          <w:p>
            <w:pPr>
              <w:spacing w:after="20"/>
            </w:pPr>
            <w:r>
              <w:rPr>
                <w:rFonts w:ascii="Arial" w:hAnsi="Arial"/>
                <w:b/>
                <w:color w:val="5C6266"/>
                <w:sz w:val="17"/>
              </w:rPr>
              <w:t>Ablage</w:t>
            </w:r>
          </w:p>
        </w:tc>
        <w:tc>
          <w:tcPr>
            <w:tcW w:type="dxa" w:w="7313"/>
            <w:vAlign w:val="top"/>
          </w:tcPr>
          <w:p>
            <w:pPr>
              <w:spacing w:after="20"/>
            </w:pPr>
            <w:r>
              <w:rPr>
                <w:rFonts w:ascii="Arial" w:hAnsi="Arial"/>
                <w:sz w:val="18"/>
              </w:rPr>
              <w:t>QM 3.4</w:t>
            </w:r>
          </w:p>
        </w:tc>
      </w:tr>
      <w:tr>
        <w:tc>
          <w:tcPr>
            <w:tcW w:type="dxa" w:w="1928"/>
            <w:vAlign w:val="top"/>
          </w:tcPr>
          <w:p>
            <w:pPr>
              <w:spacing w:after="20"/>
            </w:pPr>
            <w:r>
              <w:rPr>
                <w:rFonts w:ascii="Arial" w:hAnsi="Arial"/>
                <w:b/>
                <w:color w:val="5C6266"/>
                <w:sz w:val="17"/>
              </w:rPr>
              <w:t>Freigabe</w:t>
            </w:r>
          </w:p>
        </w:tc>
        <w:tc>
          <w:tcPr>
            <w:tcW w:type="dxa" w:w="7313"/>
            <w:vAlign w:val="top"/>
          </w:tcPr>
          <w:p>
            <w:pPr>
              <w:spacing w:after="20"/>
            </w:pPr>
            <w:r>
              <w:rPr>
                <w:rFonts w:ascii="Arial" w:hAnsi="Arial"/>
                <w:sz w:val="18"/>
              </w:rPr>
              <w:t>Eva Langen</w:t>
            </w:r>
          </w:p>
        </w:tc>
      </w:tr>
    </w:tbl>
    <w:p>
      <w:pPr>
        <w:spacing w:after="40"/>
      </w:pPr>
    </w:p>
    <w:p>
      <w:pPr>
        <w:pStyle w:val="Heading1"/>
      </w:pPr>
      <w:r>
        <w:t>1. Rollen</w:t>
      </w:r>
    </w:p>
    <w:p>
      <w:pPr>
        <w:widowControl/>
        <w:jc w:val="both"/>
      </w:pPr>
      <w:r>
        <w:t>Eva Langen akquiriert Aufträge, legt statische Modelle fest, führt Ortstermine bei wesentlichen Schäden durch und unterschreibt Gutachten. Fabian Kurz, Master Bauingenieurwesen, erstellt Berechnungsmodelle und Entwürfe. Lena Kapp, Technikerin, montiert Sensoren und kontrolliert Datenimporte. Mira Enders bearbeitet Rechnungen, Lizenzen und Versand.</w:t>
      </w:r>
    </w:p>
    <w:p>
      <w:pPr>
        <w:widowControl/>
        <w:jc w:val="both"/>
      </w:pPr>
      <w:r>
        <w:t>Bei 16 Kurzberichten im Herbst 2025 erfolgte die Freigabe per Mobiltelefon, weil Eva Langen auf einer Baustelle in Luxemburg war. In der Dokumentenablage ist nur das Kürzel EL vermerkt. Fabian Kurz erklärte in einer E-Mail, dass er zwei Berichte wegen einer drohenden Sperrung bereits an den Kunden versandt habe, bevor die Rückmeldung einging.</w:t>
      </w:r>
    </w:p>
    <w:p>
      <w:pPr>
        <w:pStyle w:val="Heading1"/>
      </w:pPr>
      <w:r>
        <w:t>2. Zeiterfassung</w:t>
      </w:r>
    </w:p>
    <w:p>
      <w:pPr>
        <w:widowControl/>
        <w:jc w:val="both"/>
      </w:pPr>
      <w:r>
        <w:t>Arbeitszeiten werden nach Projekt und Tätigkeit gebucht. Der Code FACH umfasst Modellwahl, Plausibilisierung und Schlussfolgerung; DATEN umfasst Import und Diagramm; PRODUKT umfasst Montage, Kalibrierung und Versand. Für interne Softwareentwicklung gibt es den Code DEV.</w:t>
      </w:r>
    </w:p>
    <w:p>
      <w:pPr>
        <w:widowControl/>
        <w:jc w:val="both"/>
      </w:pPr>
      <w:r>
        <w:t>Die Monatsauswertung November weist Eva Langen 42 FACH-Stunden, Fabian Kurz 116 FACH-Stunden und 38 DATEN-Stunden aus. Eine nachträgliche Umbuchung von 24 Stunden vom Projekt Moselbogen auf DEV erfolgte am 12. Januar 2026.</w:t>
      </w:r>
    </w:p>
    <w:p/>
    <w:p>
      <w:r>
        <w:rPr>
          <w:b/>
        </w:rPr>
        <w:t>Eva Langen</w:t>
      </w:r>
    </w:p>
    <w:p>
      <w:r>
        <w:t>Inhaberin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Langen Tragwerk und Monitoring  |  Interne Projektorganisation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Langen Tragwerk und Monitoring</w:t>
          </w:r>
          <w:r>
            <w:rPr>
              <w:rFonts w:ascii="Arial" w:hAnsi="Arial"/>
              <w:color w:val="5C6266"/>
              <w:sz w:val="17"/>
            </w:rPr>
            <w:br/>
            <w:t>Interne Projektorganisation</w:t>
          </w:r>
        </w:p>
      </w:tc>
      <w:tc>
        <w:tcPr>
          <w:tcW w:type="dxa" w:w="3742"/>
        </w:tcPr>
        <w:p>
          <w:pPr>
            <w:spacing w:after="0"/>
            <w:jc w:val="right"/>
          </w:pPr>
          <w:r>
            <w:rPr>
              <w:rFonts w:ascii="Arial" w:hAnsi="Arial"/>
              <w:color w:val="5C6266"/>
              <w:sz w:val="15"/>
            </w:rPr>
            <w:t>Casinostraße 38 · 56068 Koblenz</w:t>
            <w:br/>
            <w:t>Telefon 0261 973 42 10 · planung@langen-tragwerk.de</w:t>
            <w:br/>
            <w:t>Steuernummer 22/118/08741 · IBAN DE45 5705 0120 0048 1192 31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