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Abstimmung für die Lohnsteuerprüfung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Mandat</w:t>
            </w:r>
          </w:p>
        </w:tc>
        <w:tc>
          <w:tcPr>
            <w:tcW w:type="dxa" w:w="7313"/>
            <w:vAlign w:val="top"/>
          </w:tcPr>
          <w:p>
            <w:pPr>
              <w:spacing w:after="20"/>
            </w:pPr>
            <w:r>
              <w:rPr>
                <w:rFonts w:ascii="Arial" w:hAnsi="Arial"/>
                <w:sz w:val="18"/>
              </w:rPr>
              <w:t>Küstenklar / KK-112</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04.08.2026</w:t>
            </w:r>
          </w:p>
        </w:tc>
      </w:tr>
      <w:tr>
        <w:tc>
          <w:tcPr>
            <w:tcW w:type="dxa" w:w="1928"/>
            <w:vAlign w:val="top"/>
          </w:tcPr>
          <w:p>
            <w:pPr>
              <w:spacing w:after="20"/>
            </w:pPr>
            <w:r>
              <w:rPr>
                <w:rFonts w:ascii="Arial" w:hAnsi="Arial"/>
                <w:b/>
                <w:color w:val="5C6266"/>
                <w:sz w:val="17"/>
              </w:rPr>
              <w:t>Bearbeiterin</w:t>
            </w:r>
          </w:p>
        </w:tc>
        <w:tc>
          <w:tcPr>
            <w:tcW w:type="dxa" w:w="7313"/>
            <w:vAlign w:val="top"/>
          </w:tcPr>
          <w:p>
            <w:pPr>
              <w:spacing w:after="20"/>
            </w:pPr>
            <w:r>
              <w:rPr>
                <w:rFonts w:ascii="Arial" w:hAnsi="Arial"/>
                <w:sz w:val="18"/>
              </w:rPr>
              <w:t>Jana Lüders</w:t>
            </w:r>
          </w:p>
        </w:tc>
      </w:tr>
      <w:tr>
        <w:tc>
          <w:tcPr>
            <w:tcW w:type="dxa" w:w="1928"/>
            <w:vAlign w:val="top"/>
          </w:tcPr>
          <w:p>
            <w:pPr>
              <w:spacing w:after="20"/>
            </w:pPr>
            <w:r>
              <w:rPr>
                <w:rFonts w:ascii="Arial" w:hAnsi="Arial"/>
                <w:b/>
                <w:color w:val="5C6266"/>
                <w:sz w:val="17"/>
              </w:rPr>
              <w:t>Prüfungsbeginn</w:t>
            </w:r>
          </w:p>
        </w:tc>
        <w:tc>
          <w:tcPr>
            <w:tcW w:type="dxa" w:w="7313"/>
            <w:vAlign w:val="top"/>
          </w:tcPr>
          <w:p>
            <w:pPr>
              <w:spacing w:after="20"/>
            </w:pPr>
            <w:r>
              <w:rPr>
                <w:rFonts w:ascii="Arial" w:hAnsi="Arial"/>
                <w:sz w:val="18"/>
              </w:rPr>
              <w:t>20.08.2026</w:t>
            </w:r>
          </w:p>
        </w:tc>
      </w:tr>
    </w:tbl>
    <w:p>
      <w:pPr>
        <w:spacing w:after="40"/>
      </w:pPr>
    </w:p>
    <w:p>
      <w:pPr>
        <w:pStyle w:val="Heading1"/>
      </w:pPr>
      <w:r>
        <w:t>1. Abrechnungssystem</w:t>
      </w:r>
    </w:p>
    <w:p>
      <w:pPr>
        <w:widowControl/>
        <w:jc w:val="both"/>
      </w:pPr>
      <w:r>
        <w:t>Die Lohnkonten und Korrekturläufe 2024 bis 2025 sind exportiert. Verpflegungspauschalen wurden nach einer monatlichen Excel-Liste der Disposition abgerechnet. Die Liste enthält geplante Schichtdauer, aber nicht stets Abfahrt von der Wohnung und Rückkehr.</w:t>
      </w:r>
    </w:p>
    <w:p>
      <w:pPr>
        <w:widowControl/>
        <w:jc w:val="both"/>
      </w:pPr>
      <w:r>
        <w:t>Gutscheine wurden als Sachbezug erfasst. Für den Tankgutschein Juni 2025 ist unklar, ob einzelne Arbeitnehmer im selben Monat bereits einen Einkaufsgutschein erhalten hatten. Die Belege liegen im Ordner Sonstige Personalkosten.</w:t>
      </w:r>
    </w:p>
    <w:p>
      <w:pPr>
        <w:pStyle w:val="Heading1"/>
      </w:pPr>
      <w:r>
        <w:t>2. Noch zu klärende Punkte</w:t>
      </w:r>
    </w:p>
    <w:p>
      <w:pPr>
        <w:widowControl/>
        <w:jc w:val="both"/>
      </w:pPr>
      <w:r>
        <w:t>Für die Betriebswohnung wurde kein Betrag im Lohnkonto angesetzt. Herr Sokolowski war nicht dauerhaft versetzt; die Einsätze in Warnemünde machten 2025 rund 46 Prozent seiner Stunden aus. Die privaten Wochenenden der Inhaberin sind in der Buchhaltung nicht vermerkt.</w:t>
      </w:r>
    </w:p>
    <w:p>
      <w:pPr>
        <w:widowControl/>
        <w:jc w:val="both"/>
      </w:pPr>
      <w:r>
        <w:t>Leonhard Brück ist als kurzfristig Beschäftigter angelegt, obwohl die Zahlungen von April bis Dezember monatlich erfolgten. Studienbescheinigung und Stundenlisten liegen teilweise vor. Der Betrag von 900 EUR im August wurde als Fremdleistung gebucht.</w:t>
      </w:r>
    </w:p>
    <w:p/>
    <w:p>
      <w:r>
        <w:rPr>
          <w:b/>
        </w:rPr>
        <w:t>Jana Lüders</w:t>
      </w:r>
    </w:p>
    <w:p>
      <w:r>
        <w:t>Lohnbuchhalterin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Lohnkontor Warnow GmbH  |  Lohnabrechnung und Finanzbuchhaltung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Lohnkontor Warnow GmbH</w:t>
          </w:r>
          <w:r>
            <w:rPr>
              <w:rFonts w:ascii="Arial" w:hAnsi="Arial"/>
              <w:color w:val="5C6266"/>
              <w:sz w:val="17"/>
            </w:rPr>
            <w:br/>
            <w:t>Lohnabrechnung und Finanzbuchhaltung</w:t>
          </w:r>
        </w:p>
      </w:tc>
      <w:tc>
        <w:tcPr>
          <w:tcW w:type="dxa" w:w="3742"/>
        </w:tcPr>
        <w:p>
          <w:pPr>
            <w:spacing w:after="0"/>
            <w:jc w:val="right"/>
          </w:pPr>
          <w:r>
            <w:rPr>
              <w:rFonts w:ascii="Arial" w:hAnsi="Arial"/>
              <w:color w:val="5C6266"/>
              <w:sz w:val="15"/>
            </w:rPr>
            <w:t>Doberaner Straße 108 · 18057 Rostock</w:t>
            <w:br/>
            <w:t>Telefon 0381 203 71 40 · lohn@warnow-kontor.de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