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Jana Feldkamp | Projektcontrolling</w:t>
        <w:br/>
        <w:t>Hagedorn Präzisionsteile GmbH, Warendorf</w:t>
      </w:r>
    </w:p>
    <w:p>
      <w:r>
        <w:t>Geschäftsführung Hagedorn Präzisionsteile GmbH</w:t>
      </w:r>
    </w:p>
    <w:p>
      <w:r>
        <w:t>25. September 2026</w:t>
      </w:r>
    </w:p>
    <w:p>
      <w:pPr>
        <w:pStyle w:val="Title"/>
      </w:pPr>
      <w:r>
        <w:t>Restleistungen nach den bestehenden Bestellungen</w:t>
      </w:r>
    </w:p>
    <w:p>
      <w:pPr>
        <w:widowControl/>
      </w:pPr>
      <w:r>
        <w:t>Die folgenden Nettoansätze betreffen Leistungen, die noch nicht bestellt sind. Sie enthalten keine offenstehenden Leistungen aus den bestehenden Aufträgen. Das Bestellbuch erfasst die bereits gebundenen Summen vollständig. Die Restkostenerhebung ergänzt diese Beträge und ersetzt nicht die noch ausstehenden Rechnungen.</w:t>
      </w:r>
    </w:p>
    <w:p>
      <w:pPr>
        <w:widowControl/>
      </w:pPr>
      <w:r>
        <w:t>Für die Hülle fehlen 15.000,00 EUR für zusätzlich gewünschte Innenverkleidung an den Toren. Technik enthält 30.000,00 EUR für die noch zu vergebende Druckluftverteilung. Außenanlagen benötigen weitere 35.000,00 EUR für die Zufahrt im Norden. Die Ausstattung enthält 25.000,00 EUR für die Werkbänke. Die Baustelleneinrichtung benötigt 28.000,00 EUR für planmäßigen Rückbau, Endreinigung und die bereits kalkulierte verlängerte Bauüberwachung. Zu Planung, Erdarbeiten und Tragwerk werden derzeit keine unbestellten Restleistungen erwartet.</w:t>
      </w:r>
    </w:p>
    <w:p>
      <w:pPr>
        <w:widowControl/>
      </w:pPr>
      <w:r>
        <w:t>Die Ansätze beruhen auf der Mengenrunde vom 23. September. Sie umfassen zusammen 133.000,00 EUR. Die umstrittene Kranforderung von 9.600,00 EUR und das mobile Stromangebot von 36.000,00 EUR sind darin nicht enthalten. Beide Beträge bleiben bis zur Entscheidung gesondert. Die Reserve von 100.000,00 EUR ist weder verbraucht noch nochmals als Restkosten aufzuschlagen.</w:t>
      </w:r>
    </w:p>
    <w:p>
      <w:pPr>
        <w:widowControl/>
      </w:pPr>
      <w:r>
        <w:t>Jana Feldkamp</w:t>
        <w:br/>
        <w:t>Projektcontrolling</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Restleistungen nach den bestehenden Bestellungen</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