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Bauunternehmen Mertens GmbH</w:t>
        <w:br/>
        <w:t>Siemensstraße 22, 32105 Bad Salzuflen</w:t>
      </w:r>
    </w:p>
    <w:p>
      <w:r>
        <w:t>Nora Brinkmann und Tobias Mertens</w:t>
      </w:r>
    </w:p>
    <w:p>
      <w:r>
        <w:t>22. September 2026</w:t>
      </w:r>
    </w:p>
    <w:p>
      <w:pPr>
        <w:pStyle w:val="Title"/>
      </w:pPr>
      <w:r>
        <w:t>Freigaben zum Zahlungslauf</w:t>
      </w:r>
    </w:p>
    <w:p>
      <w:pPr>
        <w:pStyle w:val="Heading1"/>
        <w:keepNext/>
        <w:widowControl/>
        <w:spacing w:after="0"/>
      </w:pPr>
      <w:r>
        <w:t>1 Bereits ausgeführte Zahlungen</w:t>
      </w:r>
    </w:p>
    <w:p>
      <w:pPr>
        <w:keepNext/>
        <w:spacing w:before="0" w:after="0" w:line="220" w:lineRule="exact"/>
        <w:rPr>
          <w:sz w:val="22"/>
          <w:szCs w:val="22"/>
        </w:rPr>
      </w:pPr>
    </w:p>
    <w:p>
      <w:pPr>
        <w:widowControl/>
      </w:pPr>
      <w:r>
        <w:t>Die Zahlung an Röding vom 14. September beträgt 22.800,00 EUR. Die Rechnung über 24.000,00 EUR ist freigegeben; 1.200,00 EUR bleiben als vertragliche Sicherheit offen. Die Freistellungsbescheinigung war bei Zahlung gültig. Eine Ablösebürgschaft liegt nicht vor. Ein Umsatzsteuerbetrag wird dem Lieferanten nicht überwiesen.</w:t>
      </w:r>
    </w:p>
    <w:p>
      <w:pPr>
        <w:widowControl/>
      </w:pPr>
      <w:r>
        <w:t>Die Baustoffrechnung wurde nach Verrechnung der Gutschrift mit 12.828,20 EUR am 18. September ausgeglichen. Der Lieferant hat die Skontobasis von 13.090,00 EUR bestätigt. Die zweite per E-Mail eingegangene PDF trägt dieselbe Rechnungsnummer und wird unter demselben Eingangsbeleg abgelegt. Es besteht kein zweiter Zahlungsauftrag.</w:t>
      </w:r>
    </w:p>
    <w:p>
      <w:pPr>
        <w:pStyle w:val="Heading1"/>
        <w:keepNext/>
        <w:widowControl/>
        <w:spacing w:after="0"/>
      </w:pPr>
      <w:r>
        <w:t>2 Heutiger Lauf</w:t>
      </w:r>
    </w:p>
    <w:p>
      <w:pPr>
        <w:keepNext/>
        <w:spacing w:before="0" w:after="0" w:line="220" w:lineRule="exact"/>
        <w:rPr>
          <w:sz w:val="22"/>
          <w:szCs w:val="22"/>
        </w:rPr>
      </w:pPr>
    </w:p>
    <w:p>
      <w:pPr>
        <w:widowControl/>
      </w:pPr>
      <w:r>
        <w:t>Zur Freigabe steht die Rechnung WM-260915 über 2.975,00 EUR. Der Mietnachweis ist mit beiden Bauleitern abgestimmt. Der Betrag wird ohne Skonto oder Einbehalt gezahlt. Der Lauf enthält keine weiteren Mietzahlungen und keine Rechnung des Büros Seidel.</w:t>
      </w:r>
    </w:p>
    <w:p>
      <w:pPr>
        <w:widowControl/>
      </w:pPr>
      <w:r>
        <w:t>Nora Brinkmann bestätigt den Belegabgleich. Tobias Mertens bestätigt die Bankfreigabe am 22. September um 11:05 Uhr. Der Bankstatus lautet ausgeführt.</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52"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Freigaben zum Zahlungslauf</dc:title>
  <dc:subject/>
  <dc:creator>Klotzkette</dc:creator>
  <cp:keywords/>
  <dc:description>generated by python-docx</dc:description>
  <cp:lastModifiedBy>Klotzkette</cp:lastModifiedBy>
  <cp:revision>1</cp:revision>
  <dcterms:created xsi:type="dcterms:W3CDTF">2026-09-25T16:00:00Z</dcterms:created>
  <dcterms:modified xsi:type="dcterms:W3CDTF">2026-09-25T16:00:00Z</dcterms:modified>
  <cp:category/>
  <dc:language>de-DE</dc:language>
</cp:coreProperties>
</file>