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Hartwig Architektur</w:t>
      </w:r>
    </w:p>
    <w:p>
      <w:r>
        <w:t>Mühlenweg 7 · 37574 Einbeck</w:t>
        <w:br/>
        <w:t>projekt@hartwig-architektur.de</w:t>
      </w:r>
    </w:p>
    <w:p>
      <w:r>
        <w:t>Leinebau Hochbau GmbH</w:t>
        <w:br/>
        <w:t>Am Werkhof 6 · 37574 Einbeck</w:t>
      </w:r>
    </w:p>
    <w:p>
      <w:r>
        <w:t>Einbeck, 08.03.2023 · Bezug BH-21-04</w:t>
      </w:r>
    </w:p>
    <w:p>
      <w:pPr>
        <w:pStyle w:val="Title"/>
      </w:pPr>
      <w:r>
        <w:t>Leistungsverzeichnis Los 1</w:t>
      </w:r>
    </w:p>
    <w:p>
      <w:r>
        <w:t>Sehr geehrte Damen und Herren,</w:t>
      </w:r>
    </w:p>
    <w:p>
      <w:pPr>
        <w:keepLines/>
      </w:pPr>
      <w:r>
        <w:t>für das Bürgerhaus Lindengasse 18 in Einbeck wird Los 1 Rohbau und Gebäudehülle zur Angebotsabgabe versandt. Auftraggeber ist der Bürgerhaus Leinewinkel e.V. Dieses Leistungsverzeichnis ist ein vollständiges Los; Haustechnik, Fenster, Innentüren, Bodenbeläge und lose Ausstattung werden gesondert vergeben. Der Bauherr ist ein privat finanzierter Verein. Es handelt sich um eine private Angebotsanfrage.</w:t>
      </w:r>
    </w:p>
    <w:p>
      <w:pPr>
        <w:pStyle w:val="Heading1"/>
      </w:pPr>
      <w:r>
        <w:t>1 Vertrags- und Ausführungsbedingungen</w:t>
      </w:r>
    </w:p>
    <w:p>
      <w:pPr>
        <w:keepLines/>
      </w:pPr>
      <w:r>
        <w:t>Die Ausführung beginnt am 21.08.2023. Die vertraglich vorgesehene Fertigstellung ist der 15.03.2024. Abgerechnet werden die tatsächlich nachgewiesenen Mengen zu den angebotenen Einheitspreisen. Die VOB wird nicht als Vertragsbestandteil vereinbart. Stoffe und Nebenleistungen, die in der jeweiligen Position ausdrücklich genannt sind, sind im Einheitspreis enthalten. Pauschale Nebenangebote ohne Abgrenzung werden nicht gewertet.</w:t>
      </w:r>
    </w:p>
    <w:p>
      <w:pPr>
        <w:keepLines/>
      </w:pPr>
      <w:r>
        <w:t>Ausführungsgrundlagen sind AP-01 vom 02.06.2022 und D-12 vom 06.06.2022. Die technische Bearbeitung der Haustechnik vom 07.03.2023 ändert diese freigegebenen Gebäudepläne nicht. Vor verdeckenden Arbeiten ist die Bauleitung zur Kontrolle einzuladen. Der Verein beauftragt eine Leitungsortung vor Aushub; der Auftragnehmer prüft erkennbare Leitungen trotzdem und hält bei unklaren Funden Rücksprache. Aus der fehlenden Eintragung im Plan folgt keine Freigabe zum Durchtrennen.</w:t>
      </w:r>
    </w:p>
    <w:p>
      <w:pPr>
        <w:keepLines/>
      </w:pPr>
      <w:r>
        <w:t>Die Angebote sind bis 04.04.2023 um 12:00 Uhr an den Vorstand zu richten. Preise sind in EUR netto, Umsatzsteuer gesondert anzugeben. Die Bindefrist endet am 28.04.2023. Mit dem Angebot sind Ausführbarkeit, Personalansatz und Vorlauf für Türen und Dachmaterial zu bestätigen. Gerüste für die eigenen Leistungen und die Entsorgung eigener Verpackungen sind enthalten.</w:t>
      </w:r>
    </w:p>
    <w:p>
      <w:pPr>
        <w:pStyle w:val="Heading1"/>
      </w:pPr>
      <w:r>
        <w:t>2 Leistungsverzeichnis</w:t>
      </w:r>
    </w:p>
    <w:p>
      <w:pPr>
        <w:pStyle w:val="Heading1"/>
      </w:pPr>
      <w:r>
        <w:t>2.1 Baustelleneinrichtung</w:t>
      </w:r>
    </w:p>
    <w:p>
      <w:pPr>
        <w:keepLines/>
      </w:pPr>
      <w:r>
        <w:t>Einrichten und Räumen für Los 1 einschließlich Bauzaun, Baustromverteiler und Sanitärcontainer. Vorhaltung vom 21.08.2023 bis 15.03.2024. Betriebskosten eigener Geräte sind enthalten.</w:t>
      </w:r>
    </w:p>
    <w:p>
      <w:pPr>
        <w:keepLines/>
      </w:pPr>
      <w:r>
        <w:t>Menge: 1 psch. Einheitspreis und Gesamtpreis sind vom Bieter in seinem Angebot anzugeben.</w:t>
      </w:r>
    </w:p>
    <w:p>
      <w:pPr>
        <w:pStyle w:val="Heading1"/>
      </w:pPr>
      <w:r>
        <w:t>2.2 Selektiver Rückbau</w:t>
      </w:r>
    </w:p>
    <w:p>
      <w:pPr>
        <w:keepLines/>
      </w:pPr>
      <w:r>
        <w:t>Aufnehmen der alten Bodenbeläge und nichttragenden Einbauten im 216 m² großen Bestand. Staubschutz zum südlichen Geräteanbau und sortenreine Entsorgung nicht gefährlicher Stoffe sind enthalten. Verdeckte Schadstoffe werden vor Bearbeitung angezeigt.</w:t>
      </w:r>
    </w:p>
    <w:p>
      <w:pPr>
        <w:keepLines/>
      </w:pPr>
      <w:r>
        <w:t>Menge: 216 m². Einheitspreis und Gesamtpreis sind vom Bieter in seinem Angebot anzugeben.</w:t>
      </w:r>
    </w:p>
    <w:p>
      <w:pPr>
        <w:pStyle w:val="Heading1"/>
      </w:pPr>
      <w:r>
        <w:t>2.3 Fundamentaushub</w:t>
      </w:r>
    </w:p>
    <w:p>
      <w:pPr>
        <w:keepLines/>
      </w:pPr>
      <w:r>
        <w:t>Aushub der Streifenfundamente und Anschlussgräben bis 1,20 m unter Gelände einschließlich seitlicher Lagerung. Leitungen dürfen nicht durchtrennt werden. Handschachtung an vorher georteten Querungen ist im Einheitspreis enthalten; Umlegungen sind nicht enthalten.</w:t>
      </w:r>
    </w:p>
    <w:p>
      <w:pPr>
        <w:keepLines/>
      </w:pPr>
      <w:r>
        <w:t>Menge: 60 m³. Einheitspreis und Gesamtpreis sind vom Bieter in seinem Angebot anzugeben.</w:t>
      </w:r>
    </w:p>
    <w:p>
      <w:pPr>
        <w:pStyle w:val="Heading1"/>
      </w:pPr>
      <w:r>
        <w:t>2.4 Streifenfundamente</w:t>
      </w:r>
    </w:p>
    <w:p>
      <w:pPr>
        <w:keepLines/>
      </w:pPr>
      <w:r>
        <w:t>Betonfundamente nach Tragwerksplan T-02 mit 50 cm Breite und 80 cm Höhe einschließlich Schalung und Bewehrung gemäß Stahlliste, insgesamt 24 m³. Abrechnung nach tatsächlich eingebautem geometrischem Volumen.</w:t>
      </w:r>
    </w:p>
    <w:p>
      <w:pPr>
        <w:keepLines/>
      </w:pPr>
      <w:r>
        <w:t>Menge: 24 m³. Einheitspreis und Gesamtpreis sind vom Bieter in seinem Angebot anzugeben.</w:t>
      </w:r>
    </w:p>
    <w:p>
      <w:pPr>
        <w:pStyle w:val="Heading1"/>
      </w:pPr>
      <w:r>
        <w:t>2.5 Bodenplatte Anbau</w:t>
      </w:r>
    </w:p>
    <w:p>
      <w:pPr>
        <w:keepLines/>
      </w:pPr>
      <w:r>
        <w:t>Gedämmte Bodenplatte für 80 m² Anbau einschließlich 20 cm Stahlbeton, 12 cm druckfester Dämmung und Sauberkeitsschicht. Anschlussfuge an den Bestand nicht starr überbrücken. Oberkante Rohplatte bei minus 0,16 m.</w:t>
      </w:r>
    </w:p>
    <w:p>
      <w:pPr>
        <w:keepLines/>
      </w:pPr>
      <w:r>
        <w:t>Menge: 80 m². Einheitspreis und Gesamtpreis sind vom Bieter in seinem Angebot anzugeben.</w:t>
      </w:r>
    </w:p>
    <w:p>
      <w:pPr>
        <w:pStyle w:val="Heading1"/>
      </w:pPr>
      <w:r>
        <w:t>2.6 Außenmauerwerk Anbau</w:t>
      </w:r>
    </w:p>
    <w:p>
      <w:pPr>
        <w:keepLines/>
      </w:pPr>
      <w:r>
        <w:t>24 cm tragendes Mauerwerk mit außenliegender 16 cm Mineralwolldämmung und mineralischem Putzsystem. Fensteröffnungen werden vollständig abgezogen. Stürze und Anschlüsse sind enthalten; Metallfenster werden separat vergeben.</w:t>
      </w:r>
    </w:p>
    <w:p>
      <w:pPr>
        <w:keepLines/>
      </w:pPr>
      <w:r>
        <w:t>Menge: 95 m². Einheitspreis und Gesamtpreis sind vom Bieter in seinem Angebot anzugeben.</w:t>
      </w:r>
    </w:p>
    <w:p>
      <w:pPr>
        <w:pStyle w:val="Heading1"/>
      </w:pPr>
      <w:r>
        <w:t>2.7 Abdichtung Bestandsockel</w:t>
      </w:r>
    </w:p>
    <w:p>
      <w:pPr>
        <w:keepLines/>
      </w:pPr>
      <w:r>
        <w:t>Freilegen, Reinigen und zweilagiges Abdichten der nördlichen Bestandswand im Anschlussbereich. Bearbeitung vom Fundamentansatz bis 30 cm über Gelände. Schutzlage und Wiederverfüllung sind enthalten. Die Abdichtung ersetzt keine nachträgliche Horizontalsperre.</w:t>
      </w:r>
    </w:p>
    <w:p>
      <w:pPr>
        <w:keepLines/>
      </w:pPr>
      <w:r>
        <w:t>Menge: 36 m². Einheitspreis und Gesamtpreis sind vom Bieter in seinem Angebot anzugeben.</w:t>
      </w:r>
    </w:p>
    <w:p>
      <w:pPr>
        <w:pStyle w:val="Heading1"/>
      </w:pPr>
      <w:r>
        <w:t>2.8 Innenputz Bestand</w:t>
      </w:r>
    </w:p>
    <w:p>
      <w:pPr>
        <w:keepLines/>
      </w:pPr>
      <w:r>
        <w:t>Lose Putzbereiche entfernen und mineralischen Neuputz herstellen, mittlere Dicke 20 mm, einschließlich Untergrundvorbereitung. Beschichtungsaufbau diffusionsoffen; Untergrundfeuchte vor Beginn gemeinsam dokumentieren. Eine chemische Horizontalsperre ist nicht enthalten.</w:t>
      </w:r>
    </w:p>
    <w:p>
      <w:pPr>
        <w:keepLines/>
      </w:pPr>
      <w:r>
        <w:t>Menge: 144 m². Einheitspreis und Gesamtpreis sind vom Bieter in seinem Angebot anzugeben.</w:t>
      </w:r>
    </w:p>
    <w:p>
      <w:pPr>
        <w:pStyle w:val="Heading1"/>
      </w:pPr>
      <w:r>
        <w:t>2.9 Dach Anbau</w:t>
      </w:r>
    </w:p>
    <w:p>
      <w:pPr>
        <w:keepLines/>
      </w:pPr>
      <w:r>
        <w:t>Flachdachaufbau einschließlich Holztragwerk nach T-02, Dampfbremse, Gefälledämmung im Mittel 20 cm, zweilagiger Abdichtung, Attika und Dachentwässerung bis zum Standrohr. Gefälle vom Bestandsanschluss wegführen.</w:t>
      </w:r>
    </w:p>
    <w:p>
      <w:pPr>
        <w:keepLines/>
      </w:pPr>
      <w:r>
        <w:t>Menge: 80 m². Einheitspreis und Gesamtpreis sind vom Bieter in seinem Angebot anzugeben.</w:t>
      </w:r>
    </w:p>
    <w:p>
      <w:pPr>
        <w:pStyle w:val="Heading1"/>
      </w:pPr>
      <w:r>
        <w:t>2.10 Außentüren</w:t>
      </w:r>
    </w:p>
    <w:p>
      <w:pPr>
        <w:keepLines/>
      </w:pPr>
      <w:r>
        <w:t>Drei thermisch getrennte Aluminiumtüren nach Türliste, lichte Durchgangsbreite jeweils 1,00 m, einschließlich Beschlägen, Dichtungen und Anschlussarbeiten. Hauptzugang mit niveaugleichem Durchgang, Rinne gemäß eigener Position.</w:t>
      </w:r>
    </w:p>
    <w:p>
      <w:pPr>
        <w:keepLines/>
      </w:pPr>
      <w:r>
        <w:t>Menge: 3 St. Einheitspreis und Gesamtpreis sind vom Bieter in seinem Angebot anzugeben.</w:t>
      </w:r>
    </w:p>
    <w:p>
      <w:pPr>
        <w:pStyle w:val="Heading1"/>
      </w:pPr>
      <w:r>
        <w:t>2.11 Zugangsrampe</w:t>
      </w:r>
    </w:p>
    <w:p>
      <w:pPr>
        <w:keepLines/>
      </w:pPr>
      <w:r>
        <w:t>Stahlbetonrampe, zwei Läufe mit zusammen 12,00 m nutzbarer Länge und 1,50 m nutzbarer Breite. Höhendifferenz 0,60 m, Längsgefälle 5 Prozent. Einschließlich Zwischenpodest 1,50 m mal 1,50 m ergeben sich 20,25 m². Handläufe und Radabweiser sind enthalten.</w:t>
      </w:r>
    </w:p>
    <w:p>
      <w:pPr>
        <w:keepLines/>
      </w:pPr>
      <w:r>
        <w:t>Menge: 20,25 m². Einheitspreis und Gesamtpreis sind vom Bieter in seinem Angebot anzugeben.</w:t>
      </w:r>
    </w:p>
    <w:p>
      <w:pPr>
        <w:pStyle w:val="Heading1"/>
      </w:pPr>
      <w:r>
        <w:t>2.12 Entwässerungsrinne</w:t>
      </w:r>
    </w:p>
    <w:p>
      <w:pPr>
        <w:keepLines/>
      </w:pPr>
      <w:r>
        <w:t>Linienrinne mit herausnehmbarem Rost am Eingangs- und Rampenanschluss, lichte Breite 150 mm, Anschluss an den Regenwasserstrang. Gefälle, Bettung und Dichtheitsprobe sind enthalten. Anschlussdetail D-12 ist Vertragsgrundlage.</w:t>
      </w:r>
    </w:p>
    <w:p>
      <w:pPr>
        <w:keepLines/>
      </w:pPr>
      <w:r>
        <w:t>Menge: 9 m. Einheitspreis und Gesamtpreis sind vom Bieter in seinem Angebot anzugeben.</w:t>
      </w:r>
    </w:p>
    <w:p>
      <w:pPr>
        <w:pStyle w:val="Heading1"/>
      </w:pPr>
      <w:r>
        <w:t>3 Mengenermittlung und Schnittstellen</w:t>
      </w:r>
    </w:p>
    <w:p>
      <w:pPr>
        <w:keepLines/>
      </w:pPr>
      <w:r>
        <w:t>Die Rückbaufläche folgt dem Bestandsaufmaß, die Bodenplatte der Anbaugrundfläche. Beim Mauerwerk wurden Öffnungen abgezogen. Die Abdichtungsfläche setzt 36 m² freigelegten Sockel voraus. Der Innenputzansatz erfasst 144 m² Wandfläche, nicht die Bodenfläche. Die Rampe umfasst 18,00 m² Lauf- und 2,25 m² Podestfläche. Zusätzliche Anschlüsse an die Hofpflasterung werden gesondert aufgemessen.</w:t>
      </w:r>
    </w:p>
    <w:p>
      <w:pPr>
        <w:keepLines/>
      </w:pPr>
      <w:r>
        <w:t>Elektro und Sanitär liefern die erforderlichen Hülsenmaße vor Betonage. Für die Dichtheit der von Los 1 gelieferten Rinnenanschlüsse ist Los 1 zuständig, für die anschließende unterirdische Grundstücksleitung das gesonderte Tiefbauunternehmen. Die Schnittstelle liegt am ersten Rohrstutzen hinter der Rinne. Über die Bauleitung hinausgehende rechtsgeschäftliche Anordnungen dürfen nur Frau Döring und Herr Feldmann gemeinsam erteilen.</w:t>
      </w:r>
    </w:p>
    <w:p>
      <w:pPr>
        <w:keepNext/>
      </w:pPr>
      <w:r>
        <w:t>Mit freundlichen Grüßen</w:t>
      </w:r>
    </w:p>
    <w:p>
      <w:pPr>
        <w:keepNext/>
      </w:pPr>
      <w:r>
        <w:t>gez. Lena Hartwig, Architektin</w:t>
      </w:r>
    </w:p>
    <w:p>
      <w:r>
        <w:t>Anlagen: 20_2022-06-02_Ausführungsplan.pdf; 21_2022-06-06_Rampenanschluss.pdf</w:t>
      </w:r>
    </w:p>
    <w:sectPr w:rsidR="00FC693F" w:rsidRPr="0006063C" w:rsidSect="00034616">
      <w:footerReference w:type="default" r:id="rId9"/>
      <w:pgSz w:w="11906" w:h="16838"/>
      <w:pgMar w:top="964" w:right="1134" w:bottom="1247"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BH-21-04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Leistungsverzeichnis Los 1</dc:title>
  <dc:subject/>
  <dc:creator>Klotzkette</dc:creator>
  <cp:keywords/>
  <dc:description>generated by python-docx</dc:description>
  <cp:lastModifiedBy>Klotzkette</cp:lastModifiedBy>
  <cp:revision>1</cp:revision>
  <dcterms:created xsi:type="dcterms:W3CDTF">2023-03-08T00:00:00Z</dcterms:created>
  <dcterms:modified xsi:type="dcterms:W3CDTF">2023-03-08T00:00:00Z</dcterms:modified>
  <cp:category/>
  <dc:language>de-DE</dc:language>
</cp:coreProperties>
</file>