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al-personen-und-zeitleiste"/>
    <w:p>
      <w:pPr>
        <w:pStyle w:val="Heading1"/>
      </w:pPr>
      <w:r>
        <w:t xml:space="preserve">00 Deal Personen und Zeitleiste</w:t>
      </w:r>
    </w:p>
    <w:bookmarkStart w:id="20" w:name="codename-und-eckdaten"/>
    <w:p>
      <w:pPr>
        <w:pStyle w:val="Heading2"/>
      </w:pPr>
      <w:r>
        <w:t xml:space="preserve">Codename und Eckdaten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Projektcodename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Comet Moth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Kometenfalter Systems GmbH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Sitz und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Frankfurt am Main, HRB 137422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Gegenstand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zur automatisierten Energieoptimierung in Gewerbeimmobilien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Gründungsdatum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14.02.2022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Geschäftsjahr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Stammkapital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EUR, eingeteilt in 30.000 Geschäftsanteile zu je 1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Aktueller Notar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Notariat Schwartz, Dr. Edelgard Schwartz, Frankfurt am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Investor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Growth III SCS (Luxemburg, regulierter SCSp-Fonds)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Co-Investor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Angel-Pool Krämer (vier natürliche Personen, vertreten durch RA Krämer)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Bestehender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Stahlauge Ventures GmbH (Seed)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Wandeldarlehensgeberin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Tante Ermelind Capital UG (haftungsbeschränkt)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Zielcloseing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15.07.2026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Long-Stop-Date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15.09.2026</w:t>
            </w:r>
          </w:p>
        </w:tc>
      </w:tr>
    </w:tbl>
    <w:bookmarkEnd w:id="20"/>
    <w:bookmarkStart w:id="25" w:name="cast"/>
    <w:p>
      <w:pPr>
        <w:pStyle w:val="Heading2"/>
      </w:pPr>
      <w:r>
        <w:t xml:space="preserve">Cast</w:t>
      </w:r>
    </w:p>
    <w:bookmarkStart w:id="21" w:name="auf-mandantenseite"/>
    <w:p>
      <w:pPr>
        <w:pStyle w:val="Heading3"/>
      </w:pPr>
      <w:r>
        <w:t xml:space="preserve">Auf Mandantenseite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Kunigunde Reiter</w:t>
      </w:r>
      <w:r>
        <w:t xml:space="preserve"> </w:t>
      </w:r>
      <w:r>
        <w:t xml:space="preserve">— Gründerin, CEO, 40 Prozent nominal. Volkswirtin, will Mandantenfragen in normaler Sprache beantwortet bekommen, ohne Anglizismen-Lawine. Sehr klare Linie: Anrechnung der bereits geleisteten Vesting-Monate ist für sie ein Knackpunkt.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Meinhard Voss</w:t>
      </w:r>
      <w:r>
        <w:t xml:space="preserve"> </w:t>
      </w:r>
      <w:r>
        <w:t xml:space="preserve">— Gründer, CTO, 30 Prozent nominal. Skeptisch gegenüber englischen Begriffen, hält Anti-Dilution intuitiv für „auch eine Art Bezugsrecht”. Wichtige Lern-Situation.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Walburga Stein</w:t>
      </w:r>
      <w:r>
        <w:t xml:space="preserve"> </w:t>
      </w:r>
      <w:r>
        <w:t xml:space="preserve">— Gründerin, Product, 20 Prozent nominal. Politisch im Gründerteam Mittlerin; will keine Reibung mit Investoren.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Olaf Eichholtz</w:t>
      </w:r>
      <w:r>
        <w:t xml:space="preserve"> </w:t>
      </w:r>
      <w:r>
        <w:t xml:space="preserve">— Interim CFO, ehemals Inhouse Counsel bei einem Mittelstandskonzern. Liefert die internen Cap-Table-Files. Hat aber Cap Table und Gesellschafterliste in einem Excel-Reiter vermischt — typischer Fehler.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Eberwein &amp; Helmstadt LLP, München</w:t>
      </w:r>
      <w:r>
        <w:t xml:space="preserve"> </w:t>
      </w:r>
      <w:r>
        <w:t xml:space="preserve">— bisherige Hauskanzlei für Arbeitsrecht und Vertragsrecht. Keine Corporate-Praxis. Hat den Seed-SHA gezeichnet.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Steuerberaterin</w:t>
      </w:r>
      <w:r>
        <w:t xml:space="preserve"> </w:t>
      </w:r>
      <w:r>
        <w:t xml:space="preserve">— Sozietät Hartwig, Frankfurt, kümmert sich um die Lohnsteuerthemen rund um VSOP.</w:t>
      </w:r>
    </w:p>
    <w:bookmarkEnd w:id="21"/>
    <w:bookmarkStart w:id="22" w:name="auf-investorenseite-lead"/>
    <w:p>
      <w:pPr>
        <w:pStyle w:val="Heading3"/>
      </w:pPr>
      <w:r>
        <w:t xml:space="preserve">Auf Investorenseite Lead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Northbridge Growth III SCS</w:t>
      </w:r>
      <w:r>
        <w:t xml:space="preserve"> </w:t>
      </w:r>
      <w:r>
        <w:t xml:space="preserve">— Lead-Fonds, Sitz Luxemburg. General Partner: Northbridge Growth GP S.à r.l. Investment Committee tagt Mittwochs.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Henning Lüttich</w:t>
      </w:r>
      <w:r>
        <w:t xml:space="preserve"> </w:t>
      </w:r>
      <w:r>
        <w:t xml:space="preserve">— Partner Northbridge, Deal Lead. Hat in San Francisco gearbeitet, mischt Delaware-Logik mit Frankfurter Realität. Hält Investor Director Approval intuitiv für „Board veto”.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Vivienne Ostwald</w:t>
      </w:r>
      <w:r>
        <w:t xml:space="preserve"> </w:t>
      </w:r>
      <w:r>
        <w:t xml:space="preserve">— Senior Associate Northbridge, kümmert sich um Term-Sheet-Verhandlung.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Brackenmuir &amp; Quint LLP, Frankfurt</w:t>
      </w:r>
      <w:r>
        <w:t xml:space="preserve"> </w:t>
      </w:r>
      <w:r>
        <w:t xml:space="preserve">— Investor Counsel. Magic Circle, mit deutscher Praxis. Lead: Dr. Frieda Brackenmuir.</w:t>
      </w:r>
    </w:p>
    <w:bookmarkEnd w:id="22"/>
    <w:bookmarkStart w:id="23" w:name="auf-investorenseite-co"/>
    <w:p>
      <w:pPr>
        <w:pStyle w:val="Heading3"/>
      </w:pPr>
      <w:r>
        <w:t xml:space="preserve">Auf Investorenseite 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Siegfried Krämer Angel Pool</w:t>
      </w:r>
      <w:r>
        <w:t xml:space="preserve"> </w:t>
      </w:r>
      <w:r>
        <w:t xml:space="preserve">— vier Privatpersonen, gepoolt über die „Krämer Angel Investment GbR”, Sitz Bad Homburg. Sprecher: RA Siegfried Krämer.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Stahlauge Ventures GmbH</w:t>
      </w:r>
      <w:r>
        <w:t xml:space="preserve"> </w:t>
      </w:r>
      <w:r>
        <w:t xml:space="preserve">— Seed-Investor seit 2023, hält 10 Prozent. Will Bestandsschutz für die Seed-Präferenz.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Tante Ermelind Capital UG (haftungsbeschränkt)</w:t>
      </w:r>
      <w:r>
        <w:t xml:space="preserve"> </w:t>
      </w:r>
      <w:r>
        <w:t xml:space="preserve">— Family-Office-Vehikel des Onkels von Walburga Stein. Hat ein Wandeldarlehen über 600.000 EUR ausgegeben.</w:t>
      </w:r>
    </w:p>
    <w:bookmarkEnd w:id="23"/>
    <w:bookmarkStart w:id="24" w:name="auf-beraterseite-mandantin"/>
    <w:p>
      <w:pPr>
        <w:pStyle w:val="Heading3"/>
      </w:pPr>
      <w:r>
        <w:t xml:space="preserve">Auf Beraterseite Mandantin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Adelheid von Westarp</w:t>
      </w:r>
      <w:r>
        <w:t xml:space="preserve"> </w:t>
      </w:r>
      <w:r>
        <w:t xml:space="preserve">— Partnerin Corporate, federführend für Kometenfalter.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Roswitha Plöger</w:t>
      </w:r>
      <w:r>
        <w:t xml:space="preserve"> </w:t>
      </w:r>
      <w:r>
        <w:t xml:space="preserve">— Counsel, Tax und VSOP-Themen.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Hildemar K.</w:t>
      </w:r>
      <w:r>
        <w:t xml:space="preserve"> </w:t>
      </w:r>
      <w:r>
        <w:t xml:space="preserve">— Associate 1. Jahr, frisch aus dem Referendariat. Schreibt den Arbeitsstand in Datei 06.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Sebastian Volpert</w:t>
      </w:r>
      <w:r>
        <w:t xml:space="preserve"> </w:t>
      </w:r>
      <w:r>
        <w:t xml:space="preserve">— Notariatsangestellter im Notariat Schwartz, koordiniert Beurkundungstermine.</w:t>
      </w:r>
    </w:p>
    <w:bookmarkEnd w:id="24"/>
    <w:bookmarkEnd w:id="25"/>
    <w:bookmarkStart w:id="26" w:name="zeitleiste-seit-seed"/>
    <w:p>
      <w:pPr>
        <w:pStyle w:val="Heading2"/>
      </w:pPr>
      <w:r>
        <w:t xml:space="preserve">Zeitleiste seit Seed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14.02.2022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Gründung Kometenfalter Systems GmbH, Stammkapital 25.000 EUR, drei Gründer.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01.07.2023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Kapitalerhöhung um 5.000 EUR; Stahlauge Ventures GmbH übernimmt neue Geschäftsanteile, Seed-Investment 1,5 Mio. EUR, 1x non-participating preference, basic anti-dilution.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01.07.2023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Seed-SHA und Satzungsänderung beurkundet, UR-Nr. 412/2023 Notariat Schwartz.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01.01.2024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Vesting der Gründer beginnt, 36 Monate, 12 Monate Cliff.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03.03.2024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Anmeldung Kapitalerhöhung im Handelsregister.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15.04.2024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Eintragung Kapitalerhöhung im Handelsregister; aktuelle Gesellschafterliste eingereicht.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12.09.2024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 per Gesellschafterbeschluss eingerichtet, ohne Geschäftsordnung; tagt informell.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21.11.2024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Wandeldarlehen Tante Ermelind Capital UG über 600.000 EUR, DocuSign, nicht beurkundet.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18.02.2025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VSOP-Programm aufgelegt, 900 virtuelle Anteile zugesagt, davon 360 vested.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15.05.2025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Erstgespräch mit Northbridge.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02.10.2025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IC genehmigt LOI.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12.11.2025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gezeichnet.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18.12.2025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schickt Standard-Term-Sheet.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14.04.2026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Final Draft.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Aktueller Notarentwurf der Gesellschafterliste (noch nicht eingereicht).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Datenraum geöffnet, Brackenmuir &amp; Quint LLP arbeitet sich ein.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Donnerstag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Partnerin verlangt Briefing bis 11:30 Uhr.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Zielcloseing.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Long-Stop-Date laut Term Sheet.</w:t>
            </w:r>
          </w:p>
        </w:tc>
      </w:tr>
    </w:tbl>
    <w:bookmarkEnd w:id="26"/>
    <w:bookmarkStart w:id="27" w:name="Xff2998c64c7e0e780efe609065add64abed1cb2"/>
    <w:p>
      <w:pPr>
        <w:pStyle w:val="Heading2"/>
      </w:pPr>
      <w:r>
        <w:t xml:space="preserve">Aktenschwerpunkte für die kommende Verhandlung</w:t>
      </w:r>
    </w:p>
    <w:p>
      <w:pPr>
        <w:pStyle w:val="Compact"/>
        <w:numPr>
          <w:ilvl w:val="0"/>
          <w:numId w:val="1005"/>
        </w:numPr>
      </w:pPr>
      <w:r>
        <w:t xml:space="preserve">Saubere Trennung von</w:t>
      </w:r>
      <w:r>
        <w:t xml:space="preserve"> </w:t>
      </w:r>
      <w:r>
        <w:rPr>
          <w:b/>
          <w:bCs/>
        </w:rPr>
        <w:t xml:space="preserve">Cap Table</w:t>
      </w:r>
      <w:r>
        <w:t xml:space="preserve"> </w:t>
      </w:r>
      <w:r>
        <w:t xml:space="preserve">(internes Steuerungsinstrument) und</w:t>
      </w:r>
      <w:r>
        <w:t xml:space="preserve"> </w:t>
      </w:r>
      <w:r>
        <w:rPr>
          <w:b/>
          <w:bCs/>
        </w:rPr>
        <w:t xml:space="preserve">Gesellschafterliste</w:t>
      </w:r>
      <w:r>
        <w:t xml:space="preserve"> </w:t>
      </w:r>
      <w:r>
        <w:t xml:space="preserve">(öffentliches Register nach Paragraf 40 GmbHG).</w:t>
      </w:r>
    </w:p>
    <w:p>
      <w:pPr>
        <w:pStyle w:val="Compact"/>
        <w:numPr>
          <w:ilvl w:val="0"/>
          <w:numId w:val="1005"/>
        </w:numPr>
      </w:pPr>
      <w:r>
        <w:t xml:space="preserve">Wirtschaftliche Position der Gründer auf</w:t>
      </w:r>
      <w:r>
        <w:t xml:space="preserve"> </w:t>
      </w:r>
      <w:r>
        <w:rPr>
          <w:b/>
          <w:bCs/>
        </w:rPr>
        <w:t xml:space="preserve">fully diluted basis</w:t>
      </w:r>
      <w:r>
        <w:t xml:space="preserve"> </w:t>
      </w:r>
      <w:r>
        <w:t xml:space="preserve">nach Pool-Shuffle, Wandlung des Wandeldarlehens Frau Ermelind und Bedienung der VSOP-Anteile.</w:t>
      </w:r>
    </w:p>
    <w:p>
      <w:pPr>
        <w:pStyle w:val="Compact"/>
        <w:numPr>
          <w:ilvl w:val="0"/>
          <w:numId w:val="1005"/>
        </w:numPr>
      </w:pPr>
      <w:r>
        <w:t xml:space="preserve">Englische Vertragsbegriffe, die im deutschen Recht eine eigene Umsetzung verlangen: Liquidation Preference, Anti-Dilution, Drag/Tag, Reps &amp; Warranties, Consent Matters, Investor Director.</w:t>
      </w:r>
    </w:p>
    <w:p>
      <w:pPr>
        <w:pStyle w:val="Compact"/>
        <w:numPr>
          <w:ilvl w:val="0"/>
          <w:numId w:val="1005"/>
        </w:numPr>
      </w:pPr>
      <w:r>
        <w:t xml:space="preserve">Brücke zwischen englischem Term Sheet, deutscher Notar-, Register- und GmbHG-Welt sowie bestehender Satzung und Seed-SHA.</w:t>
      </w:r>
    </w:p>
    <w:p>
      <w:pPr>
        <w:pStyle w:val="Compact"/>
        <w:numPr>
          <w:ilvl w:val="0"/>
          <w:numId w:val="1005"/>
        </w:numPr>
      </w:pPr>
      <w:r>
        <w:t xml:space="preserve">Vorbereitung der Verhandlung mit Northbridge bzw. Brackenmuir &amp; Quint LLP: Partnerbriefing, Mandantenmemo und Liste an Investor Counsel.</w:t>
      </w:r>
    </w:p>
    <w:bookmarkEnd w:id="27"/>
    <w:bookmarkStart w:id="28" w:name="offene-punkte-zur-bearbeitung"/>
    <w:p>
      <w:pPr>
        <w:pStyle w:val="Heading2"/>
      </w:pPr>
      <w:r>
        <w:t xml:space="preserve">Offene Punkte zur Bearbeitung</w:t>
      </w:r>
    </w:p>
    <w:p>
      <w:pPr>
        <w:pStyle w:val="FirstParagraph"/>
      </w:pPr>
      <w:r>
        <w:t xml:space="preserve">Die Akte ist im Arbeitsstand und enthält erkennbare Widersprüche zwischen Term Sheet, Satzung, Seed-SHA, Wandeldarlehen und VSOP. Die nächsten Schritte: die Widersprüche identifizieren, in Partnerbriefing und Mandantenmemo zusammenführen und für die anstehende Verhandlung sortiert vorlegen.</w:t>
      </w:r>
    </w:p>
    <w:bookmarkEnd w:id="28"/>
    <w:bookmarkEnd w:id="29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00 — Deal, Personen, Zeitleiste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2026-05-29T15:09:49Z</dcterms:created>
  <dcterms:modified xsi:type="dcterms:W3CDTF">2026-05-29T15:09:49Z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