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artnerauftrag-e-mails"/>
    <w:p>
      <w:pPr>
        <w:pStyle w:val="Heading1"/>
      </w:pPr>
      <w:r>
        <w:t xml:space="preserve">01 Partnerauftrag E-Mails</w:t>
      </w:r>
    </w:p>
    <w:bookmarkStart w:id="20" w:name="X3556e5ff8ba7a36be0d2c4445a9514b888fe7be"/>
    <w:p>
      <w:pPr>
        <w:pStyle w:val="Heading2"/>
      </w:pPr>
      <w:r>
        <w:t xml:space="preserve">Erste E-Mail Partnerauftrag, Donnerstag 07:42 Uhr</w:t>
      </w:r>
    </w:p>
    <w:p>
      <w:pPr>
        <w:jc w:val="left"/>
        <w:pStyle w:val="FirstParagraph"/>
      </w:pPr>
      <w:r>
        <w:rPr>
          <w:b/>
          <w:bCs/>
        </w:rPr>
        <w:t xml:space="preserve">Von:</w:t>
      </w:r>
      <w:r>
        <w:t xml:space="preserve"> </w:t>
      </w:r>
      <w:r>
        <w:t xml:space="preserve">RAin Dr. Adelheid von Westarp</w:t>
      </w:r>
      <w:r>
        <w:br/>
      </w:r>
      <w:r>
        <w:rPr>
          <w:b/>
          <w:bCs/>
        </w:rPr>
        <w:t xml:space="preserve">An:</w:t>
      </w:r>
      <w:r>
        <w:t xml:space="preserve"> </w:t>
      </w:r>
      <w:r>
        <w:t xml:space="preserve">JAssoc Hildemar K.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Deal Team Projekt Kometenfalter</w:t>
      </w:r>
      <w:r>
        <w:br/>
      </w:r>
      <w:r>
        <w:rPr>
          <w:b/>
          <w:bCs/>
        </w:rPr>
        <w:t xml:space="preserve">Datum:</w:t>
      </w:r>
      <w:r>
        <w:t xml:space="preserve"> </w:t>
      </w:r>
      <w:r>
        <w:t xml:space="preserve">Donnerstag, 07:42 Uhr</w:t>
      </w:r>
      <w:r>
        <w:br/>
      </w:r>
      <w:r>
        <w:rPr>
          <w:b/>
          <w:bCs/>
        </w:rPr>
        <w:t xml:space="preserve">Betreff:</w:t>
      </w:r>
      <w:r>
        <w:t xml:space="preserve"> </w:t>
      </w:r>
      <w:r>
        <w:t xml:space="preserve">Kometenfalter / Series A / bitte einmal schnell sortieren</w:t>
      </w:r>
    </w:p>
    <w:p>
      <w:pPr>
        <w:pStyle w:val="BodyText"/>
      </w:pPr>
      <w:r>
        <w:t xml:space="preserve">Hildemar,</w:t>
      </w:r>
    </w:p>
    <w:p>
      <w:pPr>
        <w:pStyle w:val="BodyText"/>
      </w:pPr>
      <w:r>
        <w:t xml:space="preserve">bitte bis 11:30 Uhr ein kurzes internes Briefing zu dem Term Sheet von Northbridge Growth III machen. Die Mandantin ist die Kometenfalter Systems GmbH, HRB Frankfurt am Main, Seed-finanziertes Softwareunternehmen. Gründer sind Kunigunde Reiter, Meinhard Voss und Walburga Stein. Lead Investor wäre Northbridge, daneben soll noch die kleine Angel-Gruppe um Siegfried Krämer mitlaufen.</w:t>
      </w:r>
    </w:p>
    <w:p>
      <w:pPr>
        <w:pStyle w:val="BodyText"/>
      </w:pPr>
      <w:r>
        <w:t xml:space="preserve">Ich brauche keine akademische Abhandlung, sondern:</w:t>
      </w:r>
    </w:p>
    <w:p>
      <w:pPr>
        <w:pStyle w:val="Compact"/>
        <w:numPr>
          <w:ilvl w:val="0"/>
          <w:numId w:val="1001"/>
        </w:numPr>
      </w:pPr>
      <w:r>
        <w:t xml:space="preserve">Cap Table einmal current und fully diluted. Bitte gegen Gesellschafterliste denken, nicht vermischen.</w:t>
      </w:r>
    </w:p>
    <w:p>
      <w:pPr>
        <w:pStyle w:val="Compact"/>
        <w:numPr>
          <w:ilvl w:val="0"/>
          <w:numId w:val="1001"/>
        </w:numPr>
      </w:pPr>
      <w:r>
        <w:t xml:space="preserve">Liquidation Preference: was genau passiert bei einem Exit unter 18 Mio. EUR und über 35 Mio. EUR?</w:t>
      </w:r>
    </w:p>
    <w:p>
      <w:pPr>
        <w:pStyle w:val="Compact"/>
        <w:numPr>
          <w:ilvl w:val="0"/>
          <w:numId w:val="1001"/>
        </w:numPr>
      </w:pPr>
      <w:r>
        <w:t xml:space="preserve">Anti-Dilution: broad-based weighted average oder full ratchet? Die Formulierung ist nicht sauber.</w:t>
      </w:r>
    </w:p>
    <w:p>
      <w:pPr>
        <w:pStyle w:val="Compact"/>
        <w:numPr>
          <w:ilvl w:val="0"/>
          <w:numId w:val="1001"/>
        </w:numPr>
      </w:pPr>
      <w:r>
        <w:t xml:space="preserve">Vesting Schedule: Gründer sagen, sie hätten ja schon seit 2022 gearbeitet. Investor will trotzdem 48 Monate mit zwölfmonatigem Cliff.</w:t>
      </w:r>
    </w:p>
    <w:p>
      <w:pPr>
        <w:pStyle w:val="Compact"/>
        <w:numPr>
          <w:ilvl w:val="0"/>
          <w:numId w:val="1001"/>
        </w:numPr>
      </w:pPr>
      <w:r>
        <w:t xml:space="preserve">Drag und Tag: passt das mit Minderheiten und Vinkulierung?</w:t>
      </w:r>
    </w:p>
    <w:p>
      <w:pPr>
        <w:pStyle w:val="Compact"/>
        <w:numPr>
          <w:ilvl w:val="0"/>
          <w:numId w:val="1001"/>
        </w:numPr>
      </w:pPr>
      <w:r>
        <w:t xml:space="preserve">Consent Matters: sehen aus wie ein Beiratskatalog, sind aber im Term Sheet als Investor Director Approval formuliert. GmbH-Logik prüfen.</w:t>
      </w:r>
    </w:p>
    <w:p>
      <w:pPr>
        <w:pStyle w:val="Compact"/>
        <w:numPr>
          <w:ilvl w:val="0"/>
          <w:numId w:val="1001"/>
        </w:numPr>
      </w:pPr>
      <w:r>
        <w:t xml:space="preserve">English contract under German law: Welche Begriffe lieber definieren als übersetzen?</w:t>
      </w:r>
    </w:p>
    <w:p>
      <w:pPr>
        <w:pStyle w:val="FirstParagraph"/>
      </w:pPr>
      <w:r>
        <w:t xml:space="preserve">Bitte am Ende:</w:t>
      </w:r>
    </w:p>
    <w:p>
      <w:pPr>
        <w:pStyle w:val="Compact"/>
        <w:numPr>
          <w:ilvl w:val="0"/>
          <w:numId w:val="1002"/>
        </w:numPr>
      </w:pPr>
      <w:r>
        <w:t xml:space="preserve">Partnerbriefing max. eine Seite.</w:t>
      </w:r>
    </w:p>
    <w:p>
      <w:pPr>
        <w:pStyle w:val="Compact"/>
        <w:numPr>
          <w:ilvl w:val="0"/>
          <w:numId w:val="1002"/>
        </w:numPr>
      </w:pPr>
      <w:r>
        <w:t xml:space="preserve">Mandantenfreundliche Erklärung für Kunigunde.</w:t>
      </w:r>
    </w:p>
    <w:p>
      <w:pPr>
        <w:pStyle w:val="Compact"/>
        <w:numPr>
          <w:ilvl w:val="0"/>
          <w:numId w:val="1002"/>
        </w:numPr>
      </w:pPr>
      <w:r>
        <w:t xml:space="preserve">Liste mit Rückfragen für Investor Counsel.</w:t>
      </w:r>
    </w:p>
    <w:p>
      <w:pPr>
        <w:pStyle w:val="Compact"/>
        <w:numPr>
          <w:ilvl w:val="0"/>
          <w:numId w:val="1002"/>
        </w:numPr>
      </w:pPr>
      <w:r>
        <w:t xml:space="preserve">Senior-Review-Gates markieren.</w:t>
      </w:r>
    </w:p>
    <w:p>
      <w:pPr>
        <w:pStyle w:val="FirstParagraph"/>
      </w:pPr>
      <w:r>
        <w:t xml:space="preserve">Und bitte nicht einfach</w:t>
      </w:r>
      <w:r>
        <w:t xml:space="preserve"> </w:t>
      </w:r>
      <w:r>
        <w:t xml:space="preserve">“</w:t>
      </w:r>
      <w:r>
        <w:t xml:space="preserve">Gesellschafterliste = Cap Table</w:t>
      </w:r>
      <w:r>
        <w:t xml:space="preserve">”</w:t>
      </w:r>
      <w:r>
        <w:t xml:space="preserve"> </w:t>
      </w:r>
      <w:r>
        <w:t xml:space="preserve">schreiben. Genau da passieren die Schmerzen.</w:t>
      </w:r>
    </w:p>
    <w:p>
      <w:r>
        <w:pict>
          <v:rect style="width:0;height:1.5pt" o:hralign="center" o:hrstd="t" o:hr="t"/>
        </w:pict>
      </w:r>
    </w:p>
    <w:bookmarkEnd w:id="20"/>
    <w:bookmarkStart w:id="21" w:name="X14219658cc6832fe8af7a8ac784a5109f881f4a"/>
    <w:p>
      <w:pPr>
        <w:pStyle w:val="Heading2"/>
      </w:pPr>
      <w:r>
        <w:t xml:space="preserve">Zweite Email Partnerauftrag, 08:21 Uhr Nachschub</w:t>
      </w:r>
    </w:p>
    <w:p>
      <w:pPr>
        <w:jc w:val="left"/>
        <w:pStyle w:val="FirstParagraph"/>
      </w:pPr>
      <w:r>
        <w:rPr>
          <w:b/>
          <w:bCs/>
        </w:rPr>
        <w:t xml:space="preserve">Von:</w:t>
      </w:r>
      <w:r>
        <w:t xml:space="preserve"> </w:t>
      </w:r>
      <w:r>
        <w:t xml:space="preserve">RAin Dr. Adelheid von Westarp</w:t>
      </w:r>
      <w:r>
        <w:br/>
      </w:r>
      <w:r>
        <w:rPr>
          <w:b/>
          <w:bCs/>
        </w:rPr>
        <w:t xml:space="preserve">An:</w:t>
      </w:r>
      <w:r>
        <w:t xml:space="preserve"> </w:t>
      </w:r>
      <w:r>
        <w:t xml:space="preserve">JAssoc Hildemar K.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Roswitha Plöger</w:t>
      </w:r>
      <w:r>
        <w:br/>
      </w:r>
      <w:r>
        <w:rPr>
          <w:b/>
          <w:bCs/>
        </w:rPr>
        <w:t xml:space="preserve">Betreff:</w:t>
      </w:r>
      <w:r>
        <w:t xml:space="preserve"> </w:t>
      </w:r>
      <w:r>
        <w:t xml:space="preserve">AW: Kometenfalter — zwei Punkte vergessen</w:t>
      </w:r>
    </w:p>
    <w:p>
      <w:pPr>
        <w:pStyle w:val="BodyText"/>
      </w:pPr>
      <w:r>
        <w:t xml:space="preserve">Hildemar,</w:t>
      </w:r>
    </w:p>
    <w:p>
      <w:pPr>
        <w:pStyle w:val="BodyText"/>
      </w:pPr>
      <w:r>
        <w:t xml:space="preserve">zwei Sachen vergessen:</w:t>
      </w:r>
    </w:p>
    <w:p>
      <w:pPr>
        <w:numPr>
          <w:ilvl w:val="0"/>
          <w:numId w:val="1004"/>
        </w:numPr>
      </w:pPr>
      <w:r>
        <w:t xml:space="preserve">Convertible Tante Ermelind muss in das Cap Table, Variante Discount und Variante Valuation Cap durchrechnen, mit Annahme Wandlung beim Series-A-Closing. Bitte gegen den Vertrag in Datei 10 abgleichen.</w:t>
      </w:r>
    </w:p>
    <w:p>
      <w:pPr>
        <w:numPr>
          <w:ilvl w:val="0"/>
          <w:numId w:val="1004"/>
        </w:numPr>
      </w:pPr>
      <w:r>
        <w:t xml:space="preserve">Beirat steht in der Satzung als beratend, soll laut Term Sheet aber Investor Director Approval erteilen. Mapping in das deutsche Organrecht in Datei 14 nutzen.</w:t>
      </w:r>
    </w:p>
    <w:p>
      <w:pPr>
        <w:pStyle w:val="FirstParagraph"/>
      </w:pPr>
      <w:r>
        <w:t xml:space="preserve">Außerdem: ich sehe heute morgen im Postfach die Antwortmail von Brackenmuir über den Roundtrip-Markup, siehe Datei 11. Bitte bevor Sie loslegen, beide Mails parallel lesen. Es bringt nichts, das Term Sheet zu übersetzen, wenn der Markup schon weiterzieht.</w:t>
      </w:r>
    </w:p>
    <w:bookmarkEnd w:id="21"/>
    <w:bookmarkEnd w:id="22"/>
    <w:sectPr>
      <w:headerReference r:id="rId9" w:type="default"/>
      <w:footerReference r:id="rId10" w:type="default"/>
      <w:pgSz w:h="16838" w:w="11906"/>
      <w:pgMar w:bottom="1134" w:footer="567" w:header="567" w:left="1417" w:right="141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before="0" w:after="0"/>
      <w:pBdr>
        <w:top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Vertraulich · Akteninterne Bearbeitungsfassung</w:t>
    </w:r>
    <w:r>
      <w:tab/>
    </w:r>
    <w:r>
      <w:rPr>
        <w:rFonts w:ascii="Times New Roman" w:hAnsi="Times New Roman"/>
        <w:b w:val="0"/>
        <w:color w:val="555555"/>
        <w:sz w:val="18"/>
      </w:rPr>
      <w:t xml:space="preserve">Seite </w:t>
    </w:r>
    <w:r>
      <w:rPr>
        <w:rFonts w:ascii="Times New Roman" w:hAnsi="Times New Roman"/>
        <w:color w:val="555555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/>
        <w:b w:val="0"/>
        <w:color w:val="555555"/>
        <w:sz w:val="18"/>
      </w:rPr>
      <w:t xml:space="preserve"> von </w:t>
    </w:r>
    <w:r>
      <w:rPr>
        <w:rFonts w:ascii="Times New Roman" w:hAnsi="Times New Roman"/>
        <w:color w:val="555555"/>
        <w:sz w:val="18"/>
      </w:rPr>
      <w:fldChar w:fldCharType="begin"/>
      <w:instrText xml:space="preserve"> NUMPAGES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071" w:val="right"/>
      </w:tabs>
      <w:spacing w:after="0"/>
      <w:pBdr>
        <w:bottom w:val="single" w:sz="4" w:space="4" w:color="888888"/>
      </w:pBdr>
    </w:pPr>
    <w:r>
      <w:rPr>
        <w:rFonts w:ascii="Times New Roman" w:hAnsi="Times New Roman"/>
        <w:b w:val="0"/>
        <w:color w:val="555555"/>
        <w:sz w:val="18"/>
      </w:rPr>
      <w:t>Hagemann &amp; Westarp · Kometenfalter Systems GmbH · Series A Project Comet Moth</w:t>
    </w:r>
    <w:r>
      <w:tab/>
    </w:r>
    <w:r>
      <w:rPr>
        <w:rFonts w:ascii="Times New Roman" w:hAnsi="Times New Roman"/>
        <w:b/>
        <w:color w:val="555555"/>
        <w:sz w:val="18"/>
      </w:rPr>
      <w:t>01 — Partnerauftrag E-Mails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Times New Roman" w:cs="Times New Roman" w:eastAsia="Times New Roman" w:hAnsi="Times New Roman"/>
      <w:sz w:val="22"/>
      <w:color w:val="00000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Times New Roman" w:hAnsi="Times New Roman"/>
      <w:sz w:val="22"/>
      <w:color w:val="000000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cs="Times New Roman" w:eastAsia="Times New Roman" w:hAnsi="Times New Roman"/>
      <w:sz w:val="22"/>
      <w:color w:val="000000"/>
    </w:rPr>
  </w:style>
  <w:style w:customStyle="1" w:styleId="Compact" w:type="paragraph">
    <w:name w:val="Compact"/>
    <w:basedOn w:val="BodyText"/>
    <w:qFormat/>
    <w:pPr>
      <w:spacing w:after="80" w:before="36" w:line="276" w:lineRule="auto"/>
    </w:pPr>
    <w:rPr>
      <w:rFonts w:ascii="Times New Roman" w:cs="Times New Roman" w:eastAsia="Times New Roman" w:hAnsi="Times New Roman"/>
      <w:sz w:val="22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360" w:before="0"/>
      <w:jc w:val="center"/>
    </w:pPr>
    <w:rPr>
      <w:rFonts w:ascii="Times New Roman" w:cs="Times New Roman" w:eastAsia="Times New Roman" w:hAnsi="Times New Roman"/>
      <w:b/>
      <w:bCs/>
      <w:sz w:val="32"/>
      <w:szCs w:val="36"/>
      <w:color w:val="00000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360" w:before="240"/>
      <w:jc w:val="center"/>
      <w:outlineLvl w:val="0"/>
    </w:pPr>
    <w:rPr>
      <w:rFonts w:ascii="Times New Roman" w:cs="Times New Roman" w:eastAsia="Times New Roman" w:hAnsi="Times New Roman"/>
      <w:b/>
      <w:bCs/>
      <w:sz w:val="32"/>
      <w:szCs w:val="32"/>
      <w:color w:val="00000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jc w:val="left"/>
      <w:outlineLvl w:val="1"/>
    </w:pPr>
    <w:rPr>
      <w:rFonts w:ascii="Times New Roman" w:cs="Times New Roman" w:eastAsia="Times New Roman" w:hAnsi="Times New Roman"/>
      <w:b/>
      <w:bCs/>
      <w:sz w:val="26"/>
      <w:szCs w:val="28"/>
      <w:color w:val="00000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Times New Roman" w:cs="Times New Roman" w:eastAsia="Times New Roman" w:hAnsi="Times New Roman"/>
      <w:b/>
      <w:bCs/>
      <w:sz w:val="22"/>
      <w:szCs w:val="24"/>
      <w:color w:val="000000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3"/>
    </w:pPr>
    <w:rPr>
      <w:rFonts w:ascii="Times New Roman" w:cs="Times New Roman" w:eastAsia="Times New Roman" w:hAnsi="Times New Roman"/>
      <w:b/>
      <w:bCs/>
      <w:i/>
      <w:sz w:val="22"/>
      <w:szCs w:val="24"/>
      <w:color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4"/>
    </w:pPr>
    <w:rPr>
      <w:rFonts w:ascii="Times New Roman" w:cs="Times New Roman" w:eastAsia="Times New Roman" w:hAnsi="Times New Roman"/>
      <w:b/>
      <w:iCs/>
      <w:sz w:val="22"/>
      <w:szCs w:val="24"/>
      <w:color w:val="000000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40" w:before="160"/>
      <w:jc w:val="left"/>
      <w:outlineLvl w:val="5"/>
    </w:pPr>
    <w:rPr>
      <w:rFonts w:ascii="Times New Roman" w:cs="Times New Roman" w:eastAsia="Times New Roman" w:hAnsi="Times New Roman"/>
      <w:b/>
      <w:sz w:val="22"/>
      <w:szCs w:val="24"/>
      <w:color w:val="00000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/>
      <w:color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/>
      <w:color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/>
      <w:color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sz w:val="22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sz w:val="22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rPr>
      <w:rFonts w:ascii="Times New Roman" w:cs="Times New Roman" w:hAnsi="Times New Roman"/>
      <w:sz w:val="20"/>
      <w:szCs w:val="20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</w:rPr>
      <w:tcPr>
        <w:shd w:color="auto" w:fill="DDDDDD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/>
      <w:b w:val="0"/>
      <w:bCs w:val="0"/>
      <w:color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  <Company>Hagemann &amp; Westarp Rechtsanwaltsgesellschaft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Hagemann &amp; Westarp</dc:creator>
  <cp:keywords/>
  <dcterms:created xsi:type="dcterms:W3CDTF">2026-05-29T15:09:50Z</dcterms:created>
  <dcterms:modified xsi:type="dcterms:W3CDTF">2026-05-29T15:09:50Z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