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7bf2ea4bb37ebc3f0008134926d2c95e9521b0"/>
    <w:p>
      <w:pPr>
        <w:pStyle w:val="Heading1"/>
      </w:pPr>
      <w:r>
        <w:t xml:space="preserve">Akte Kometenfalter Systems GmbH — Series A Project Comet Moth</w:t>
      </w:r>
    </w:p>
    <w:p>
      <w:pPr>
        <w:pStyle w:val="FirstParagraph"/>
      </w:pPr>
      <w:r>
        <w:t xml:space="preserve">Mandantin: Kometenfalter Systems GmbH, eingetragen im Handelsregister des Amtsgerichts Frankfurt am Main, HRB-Nummer wird im Closing-Datenraum geführt. Sitz Frankfurt am Main, Sitz-Adresse Hanauer Landstraße 188, 60314 Frankfurt am Main. Geschäftsführung Kunigunde Reiter (CEO), Meinhard Voss (CTO), Walburga Stein (CPO). Stammkapital aktuell 30.000 EUR, geplante Erhöhung auf 48.069 EUR durch Series-A-Finanzierung Northbridge Growth III SCS, Luxembourg, Sociétaire der Northbridge-Plattform.</w:t>
      </w:r>
    </w:p>
    <w:p>
      <w:pPr>
        <w:pStyle w:val="BodyText"/>
      </w:pPr>
      <w:r>
        <w:t xml:space="preserve">Lead Investor: Northbridge Growth III SCS, vertreten durch Vivienne Ostwald und Henning Lüttich. Begleitend Angel-Gruppe um Siegfried Krämer (3 Personen, gemeinsam ca. 6 Prozent post-money). Bestehender Wandeldarlehen-Gläubiger: Tante Ermelind UG (haftungsbeschränkt), gehalten von Ermelind Reiter (Tante der CEO).</w:t>
      </w:r>
    </w:p>
    <w:p>
      <w:pPr>
        <w:pStyle w:val="BodyText"/>
      </w:pPr>
      <w:r>
        <w:t xml:space="preserve">Investor Counsel: Brackenmuir &amp; Quint LLP, Frankfurt am Main, Goetheplatz 7, federführend Frieda Brackenmuir (Partner Corporate). Mandantenkanzlei: Hagemann &amp; Westarp, Frankfurt am Main, Bockenheimer Landstraße 24, federführend Dr. Adelheid von Westarp (Partner Corporate/VC). Bearbeitender Associate: Hildemar K. (2. Jahr, Corporate). Beratende Senior-Associate: Roswitha Plöger (5. Jahr, Cap Table und Finance Models).</w:t>
      </w:r>
    </w:p>
    <w:p>
      <w:pPr>
        <w:pStyle w:val="BodyText"/>
      </w:pPr>
      <w:r>
        <w:t xml:space="preserve">Beurkundender Notar: Notariat Dr. Bertram Veitschegger, Frankfurt am Main, Untermainanlage 7. Geplantes Signing 11.07.2026, geplantes Closing 15.07.2026, Long-Stop-Date 30.09.2026.</w:t>
      </w:r>
    </w:p>
    <w:bookmarkStart w:id="20" w:name="aktenbestand"/>
    <w:p>
      <w:pPr>
        <w:pStyle w:val="Heading2"/>
      </w:pPr>
      <w:r>
        <w:t xml:space="preserve">Aktenbestand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00-deal-personen-und-zeitleiste.md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Cast, Zeitleiste 14.02.2022 bis 15.09.2026, Eckdaten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01-partnerauftrag-emails.md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Partner-E-Mails von Westarp an Hildemar K., Donnerstag früh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02-cap-table-und-gesellschafterliste.md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 v19 (current/post-money), Gesellschafterliste nach § 40 GmbHG, Abgleich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03-term-sheet-auszug.md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Northbridge vom 14.04.2026, gezeichnet von Ostwald, mit Markups Brackenmuir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04-sha-satzung-und-vesting-notizen.md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SHA-Entwurf v2.1 (Brackenmuir) + Satzungs-Entwurf neu (Westarp), interne Vesting-Notizen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05-dd-red-flags-und-client-fragen.md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DD-Red-Flags Steuer, IP, Arbeitsrecht, plus offene Mandantenfragen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06-associate-arbeitsstand.md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Arbeitsstand Hildemar K. (Stand Donnerstag 11:15), mit Margin-Notes Westarp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10-wandeldarlehen-tante-ermelind.md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 Loan Agreement Tante Ermelind UG vom 20.06.2024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11-investor-counsel-markup-emails.md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E-Mail-Roundtrip Brackenmuir ↔ Westarp ↔ Hildemar zum Round-1-Markup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11n-westarp-randnotiz-zum-entwurf.md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Randnotiz Westarp zum Entwurf Hildemar K. (Datei 11, E-Mail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12-notar-checkliste-und-handelsregisterlogik.md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Pre-Closing-Checkliste Notar/HR, Datenraum-Index „04 Closing/Notary”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13-side-letter-und-information-rights.md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Northbridge + MFN-Mechanik + Information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14-board-und-consent-matters-mapping-de-en.md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Consent Matters: Beirat / Gesellschafterversammlung / GF-Geschäftsordnung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15-closing-checkliste-cp.md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Closing-Checkliste mit CPs und Closing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16-whatsapp-partner-associate-thread.md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Westarp ↔ Hildemar, Donnerstag 06:58–08:21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18-cap-table-und-waterfall.xlsx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Cap-Table-Modell mit Pool pre-/post-money, Wandeldarlehen und Liquidation-Preference-Waterfall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19-notar-scan-beurkundungssprache.pdf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Notar-Memo Veitschegger zur Beurkundungssprache § 16 BeurkG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20-whiteboard-foto-deal-map.jpg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Whiteboard-Foto Deal-Map aus dem Donnerstag-Morgen-Stand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21-investor-email-screenshot.jpg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einer Investor-E-Mail aus der Mandantenkommunikation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22-whatsapp-screenshot.jpg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WhatsApp-Screenshot Westarp/Hildemar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24-agio-und-kapitalruecklage-streitfrage.md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Westarp-Notiz an Hildemar zur Satzungsverankerung des Agio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Originaltextstand der gesandten und empfangenen E-Mails als .eml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Originalstand Slack-Thread #project-comet-moth und WhatsApp Westarp/Hildemar (Markdown, jeweils zusätzlich als DOCX und PDF)</w:t>
            </w:r>
          </w:p>
        </w:tc>
      </w:tr>
    </w:tbl>
    <w:bookmarkEnd w:id="20"/>
    <w:bookmarkStart w:id="21" w:name="arbeitsstand"/>
    <w:p>
      <w:pPr>
        <w:pStyle w:val="Heading2"/>
      </w:pPr>
      <w:r>
        <w:t xml:space="preserve">Arbeitsstand</w:t>
      </w:r>
    </w:p>
    <w:p>
      <w:pPr>
        <w:pStyle w:val="Compact"/>
        <w:numPr>
          <w:ilvl w:val="0"/>
          <w:numId w:val="1001"/>
        </w:numPr>
      </w:pPr>
      <w:r>
        <w:t xml:space="preserve">Term Sheet liegt seit 14.04.2026 vor, Round-1-Markup Brackenmuir vom 27.05.2026 eingegangen.</w:t>
      </w:r>
    </w:p>
    <w:p>
      <w:pPr>
        <w:pStyle w:val="Compact"/>
        <w:numPr>
          <w:ilvl w:val="0"/>
          <w:numId w:val="1001"/>
        </w:numPr>
      </w:pPr>
      <w:r>
        <w:t xml:space="preserve">Cap Table v19 ist work-in-progress; Pool-Verteilung pre-/post-money noch nicht abschließend mit Northbridge abgestimmt.</w:t>
      </w:r>
    </w:p>
    <w:p>
      <w:pPr>
        <w:pStyle w:val="Compact"/>
        <w:numPr>
          <w:ilvl w:val="0"/>
          <w:numId w:val="1001"/>
        </w:numPr>
      </w:pPr>
      <w:r>
        <w:t xml:space="preserve">Convertible Tante Ermelind: Wandlungsmechanik mit Cap und Discount muss in das SHA aufgenommen werden.</w:t>
      </w:r>
    </w:p>
    <w:p>
      <w:pPr>
        <w:pStyle w:val="Compact"/>
        <w:numPr>
          <w:ilvl w:val="0"/>
          <w:numId w:val="1001"/>
        </w:numPr>
      </w:pPr>
      <w:r>
        <w:t xml:space="preserve">Notarliche Beurkundung der Satzungsänderung steht noch aus. Englischsprachige SHA-Fassung wird nicht beurkundet, sondern privatschriftlich gezeichnet.</w:t>
      </w:r>
    </w:p>
    <w:p>
      <w:pPr>
        <w:pStyle w:val="Compact"/>
        <w:numPr>
          <w:ilvl w:val="0"/>
          <w:numId w:val="1001"/>
        </w:numPr>
      </w:pPr>
      <w:r>
        <w:t xml:space="preserve">Friday Call Brackenmuir/Westarp ist auf morgen 10:00 terminiert. Hildemar soll bis 09:30 ein Partnerbriefing, eine Mandantenerklärung für Kunigunde, eine Rückfragenliste an Brackenmuir und einen aktualisierten Cap-Table-Stand vorlegen.</w:t>
      </w:r>
    </w:p>
    <w:bookmarkEnd w:id="21"/>
    <w:bookmarkStart w:id="22" w:name="hinweise"/>
    <w:p>
      <w:pPr>
        <w:pStyle w:val="Heading2"/>
      </w:pPr>
      <w:r>
        <w:t xml:space="preserve">Hinweise</w:t>
      </w:r>
    </w:p>
    <w:p>
      <w:pPr>
        <w:pStyle w:val="Compact"/>
        <w:numPr>
          <w:ilvl w:val="0"/>
          <w:numId w:val="1002"/>
        </w:numPr>
      </w:pPr>
      <w:r>
        <w:t xml:space="preserve">Die DOCX- und PDF-Versionen aller Texte liegen im selben Verzeichnis und sind im Memo-Layout der Kanzlei Hagemann &amp; Westarp gesetzt (Times New Roman 11 pt, Blocksatz, Mandatslabel im Seitenkopf, Vertraulichkeitsvermerk im Seitenfuß).</w:t>
      </w:r>
    </w:p>
    <w:p>
      <w:pPr>
        <w:pStyle w:val="Compact"/>
        <w:numPr>
          <w:ilvl w:val="0"/>
          <w:numId w:val="1002"/>
        </w:numPr>
      </w:pPr>
      <w:r>
        <w:t xml:space="preserve">E-Mails liegen zusätzlich als .eml im Unterordner</w:t>
      </w:r>
      <w:r>
        <w:t xml:space="preserve"> </w:t>
      </w:r>
      <w:r>
        <w:rPr>
          <w:rStyle w:val="VerbatimChar"/>
        </w:rPr>
        <w:t xml:space="preserve">emails/</w:t>
      </w:r>
      <w:r>
        <w:t xml:space="preserve"> </w:t>
      </w:r>
      <w:r>
        <w:t xml:space="preserve">und sind in Outlook direkt öffenbar.</w:t>
      </w:r>
    </w:p>
    <w:p>
      <w:pPr>
        <w:pStyle w:val="Compact"/>
        <w:numPr>
          <w:ilvl w:val="0"/>
          <w:numId w:val="1002"/>
        </w:numPr>
      </w:pPr>
      <w:r>
        <w:t xml:space="preserve">Chatverläufe (Slack #project-comet-moth, WhatsApp Westarp/Hildemar) liegen vollständig im Unterordner</w:t>
      </w:r>
      <w:r>
        <w:t xml:space="preserve"> </w:t>
      </w:r>
      <w:r>
        <w:rPr>
          <w:rStyle w:val="VerbatimChar"/>
        </w:rPr>
        <w:t xml:space="preserve">chats/</w:t>
      </w:r>
      <w:r>
        <w:t xml:space="preserve"> </w:t>
      </w:r>
      <w:r>
        <w:t xml:space="preserve">als Markdown sowie je als eigene DOCX und PDF.</w:t>
      </w:r>
    </w:p>
    <w:bookmarkEnd w:id="22"/>
    <w:bookmarkEnd w:id="23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README — Akteninhalt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2026-05-29T15:10:00Z</dcterms:created>
  <dcterms:modified xsi:type="dcterms:W3CDTF">2026-05-29T15:10:00Z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