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hatsapp-partner-associate-thread"/>
    <w:p>
      <w:pPr>
        <w:pStyle w:val="Heading1"/>
      </w:pPr>
      <w:r>
        <w:t xml:space="preserve">16 WhatsApp Partner Associate Thread</w:t>
      </w:r>
    </w:p>
    <w:bookmarkStart w:id="20" w:name="donnerstag-0658-bis-0821-uhr"/>
    <w:p>
      <w:pPr>
        <w:pStyle w:val="Heading2"/>
      </w:pPr>
      <w:r>
        <w:t xml:space="preserve">Donnerstag, 06:58 bis 08:21 Uhr</w:t>
      </w:r>
    </w:p>
    <w:p>
      <w:pPr>
        <w:pStyle w:val="FirstParagraph"/>
      </w:pPr>
      <w:r>
        <w:rPr>
          <w:b/>
          <w:bCs/>
        </w:rPr>
        <w:t xml:space="preserve">06:58 - Adelheid:</w:t>
      </w:r>
      <w:r>
        <w:t xml:space="preserve"> </w:t>
      </w:r>
      <w:r>
        <w:t xml:space="preserve">Guten Morgen. Northbridge hat nachts noch einmal wegen</w:t>
      </w:r>
      <w:r>
        <w:t xml:space="preserve"> </w:t>
      </w:r>
      <w:r>
        <w:t xml:space="preserve">“</w:t>
      </w:r>
      <w:r>
        <w:t xml:space="preserve">fully diluted incl. pool and convertibles</w:t>
      </w:r>
      <w:r>
        <w:t xml:space="preserve">”</w:t>
      </w:r>
      <w:r>
        <w:t xml:space="preserve"> </w:t>
      </w:r>
      <w:r>
        <w:t xml:space="preserve">nachgelegt. Bitte nicht einfach in die Gesellschafterliste kippen.</w:t>
      </w:r>
    </w:p>
    <w:p>
      <w:pPr>
        <w:pStyle w:val="BodyText"/>
      </w:pPr>
      <w:r>
        <w:rPr>
          <w:b/>
          <w:bCs/>
        </w:rPr>
        <w:t xml:space="preserve">06:59 - Hildemar:</w:t>
      </w:r>
      <w:r>
        <w:t xml:space="preserve"> </w:t>
      </w:r>
      <w:r>
        <w:t xml:space="preserve">Verstanden. Ich trenne Cap Table und Gesellschafterliste. Soll ich den Pool pre-money oder post-money rechnen?</w:t>
      </w:r>
    </w:p>
    <w:p>
      <w:pPr>
        <w:pStyle w:val="BodyText"/>
      </w:pPr>
      <w:r>
        <w:rPr>
          <w:b/>
          <w:bCs/>
        </w:rPr>
        <w:t xml:space="preserve">07:01 - Adelheid:</w:t>
      </w:r>
      <w:r>
        <w:t xml:space="preserve"> </w:t>
      </w:r>
      <w:r>
        <w:t xml:space="preserve">Genau das ist die Frage. Term Sheet sagt</w:t>
      </w:r>
      <w:r>
        <w:t xml:space="preserve"> </w:t>
      </w:r>
      <w:r>
        <w:t xml:space="preserve">“</w:t>
      </w:r>
      <w:r>
        <w:t xml:space="preserve">including a post-Closing option pool of 12 percent</w:t>
      </w:r>
      <w:r>
        <w:t xml:space="preserve">”</w:t>
      </w:r>
      <w:r>
        <w:t xml:space="preserve">, aber die wirtschaftliche Last liegt nach deren Modell wohl pre-money bei den Altgesellschaftern. Bitte sichtbar machen.</w:t>
      </w:r>
    </w:p>
    <w:p>
      <w:pPr>
        <w:pStyle w:val="BodyText"/>
      </w:pPr>
      <w:r>
        <w:rPr>
          <w:b/>
          <w:bCs/>
        </w:rPr>
        <w:t xml:space="preserve">07:04 - Hildemar:</w:t>
      </w:r>
      <w:r>
        <w:t xml:space="preserve"> </w:t>
      </w:r>
      <w:r>
        <w:t xml:space="preserve">Ich baue zwei Szenarien: A Pool pre-money zulasten Bestand, B Pool post-money alle. Wandeldarlehen Tante Ermelind mit Cap/Discount jeweils separat.</w:t>
      </w:r>
    </w:p>
    <w:p>
      <w:pPr>
        <w:pStyle w:val="BodyText"/>
      </w:pPr>
      <w:r>
        <w:rPr>
          <w:b/>
          <w:bCs/>
        </w:rPr>
        <w:t xml:space="preserve">07:06 - Adelheid:</w:t>
      </w:r>
      <w:r>
        <w:t xml:space="preserve"> </w:t>
      </w:r>
      <w:r>
        <w:t xml:space="preserve">Gut. Und bitte keine</w:t>
      </w:r>
      <w:r>
        <w:t xml:space="preserve"> </w:t>
      </w:r>
      <w:r>
        <w:t xml:space="preserve">“</w:t>
      </w:r>
      <w:r>
        <w:t xml:space="preserve">preferred shares</w:t>
      </w:r>
      <w:r>
        <w:t xml:space="preserve">”</w:t>
      </w:r>
      <w:r>
        <w:t xml:space="preserve"> </w:t>
      </w:r>
      <w:r>
        <w:t xml:space="preserve">in die Satzung schreiben, als wären wir Delaware. Wir brauchen deutsche Vorzugsrechte, sauber in Satzung/SHA gespiegelt.</w:t>
      </w:r>
    </w:p>
    <w:p>
      <w:pPr>
        <w:pStyle w:val="BodyText"/>
      </w:pPr>
      <w:r>
        <w:rPr>
          <w:b/>
          <w:bCs/>
        </w:rPr>
        <w:t xml:space="preserve">07:09 - Hildemar:</w:t>
      </w:r>
      <w:r>
        <w:t xml:space="preserve"> </w:t>
      </w:r>
      <w:r>
        <w:t xml:space="preserve">Ich mache eine Begriffskarte: Preferred Shares = wirtschaftliche Vorzugsrechte, Umsetzung über Geschäftsanteilsklassen/Satzung/SHA; keine deutsche Scheinübersetzung.</w:t>
      </w:r>
    </w:p>
    <w:p>
      <w:pPr>
        <w:pStyle w:val="BodyText"/>
      </w:pPr>
      <w:r>
        <w:rPr>
          <w:b/>
          <w:bCs/>
        </w:rPr>
        <w:t xml:space="preserve">07:16 - Adelheid:</w:t>
      </w:r>
      <w:r>
        <w:t xml:space="preserve"> </w:t>
      </w:r>
      <w:r>
        <w:t xml:space="preserve">Super. Zweiter Punkt: Investor Director. Nicht als Geschäftsführer behandeln. Es ist Beirat/Consent-Matter-Mechanik.</w:t>
      </w:r>
    </w:p>
    <w:p>
      <w:pPr>
        <w:pStyle w:val="BodyText"/>
      </w:pPr>
      <w:r>
        <w:rPr>
          <w:b/>
          <w:bCs/>
        </w:rPr>
        <w:t xml:space="preserve">07:18 - Hildemar:</w:t>
      </w:r>
      <w:r>
        <w:t xml:space="preserve"> </w:t>
      </w:r>
      <w:r>
        <w:t xml:space="preserve">Also Consent Matters auf drei Ebenen prüfen: Beirat, Geschäftsführer-Geschäftsordnung, Gesellschafterversammlung/Satzung.</w:t>
      </w:r>
    </w:p>
    <w:p>
      <w:pPr>
        <w:pStyle w:val="BodyText"/>
      </w:pPr>
      <w:r>
        <w:rPr>
          <w:b/>
          <w:bCs/>
        </w:rPr>
        <w:t xml:space="preserve">07:20 - Adelheid:</w:t>
      </w:r>
      <w:r>
        <w:t xml:space="preserve"> </w:t>
      </w:r>
      <w:r>
        <w:t xml:space="preserve">Genau. Und sag im Memo, wo nur SHA reicht und wo Satzung/Notar/HR zwingend werden kann.</w:t>
      </w:r>
    </w:p>
    <w:p>
      <w:pPr>
        <w:pStyle w:val="BodyText"/>
      </w:pPr>
      <w:r>
        <w:rPr>
          <w:b/>
          <w:bCs/>
        </w:rPr>
        <w:t xml:space="preserve">07:43 - Hildemar:</w:t>
      </w:r>
      <w:r>
        <w:t xml:space="preserve"> </w:t>
      </w:r>
      <w:r>
        <w:t xml:space="preserve">Kurze Rückfrage: Drag-Along Threshold im Term Sheet 60 Prozent fully diluted plus Series A Majority. Reicht das als schuldrechtliche Pflicht?</w:t>
      </w:r>
    </w:p>
    <w:p>
      <w:pPr>
        <w:pStyle w:val="BodyText"/>
      </w:pPr>
      <w:r>
        <w:rPr>
          <w:b/>
          <w:bCs/>
        </w:rPr>
        <w:t xml:space="preserve">07:46 - Adelheid:</w:t>
      </w:r>
      <w:r>
        <w:t xml:space="preserve"> </w:t>
      </w:r>
      <w:r>
        <w:t xml:space="preserve">Als Pflicht im SHA ja, aber Vollmacht, Beurkundung, Minderheitenschutz und Preisgleichheit prüfen. Nicht</w:t>
      </w:r>
      <w:r>
        <w:t xml:space="preserve"> </w:t>
      </w:r>
      <w:r>
        <w:t xml:space="preserve">“</w:t>
      </w:r>
      <w:r>
        <w:t xml:space="preserve">Vorkaufsrecht</w:t>
      </w:r>
      <w:r>
        <w:t xml:space="preserve">”</w:t>
      </w:r>
      <w:r>
        <w:t xml:space="preserve"> </w:t>
      </w:r>
      <w:r>
        <w:t xml:space="preserve">nennen.</w:t>
      </w:r>
    </w:p>
    <w:p>
      <w:pPr>
        <w:pStyle w:val="BodyText"/>
      </w:pPr>
      <w:r>
        <w:rPr>
          <w:b/>
          <w:bCs/>
        </w:rPr>
        <w:t xml:space="preserve">08:02 - Hildemar:</w:t>
      </w:r>
      <w:r>
        <w:t xml:space="preserve"> </w:t>
      </w:r>
      <w:r>
        <w:t xml:space="preserve">Ich habe im Associate-Draft den Satz</w:t>
      </w:r>
      <w:r>
        <w:t xml:space="preserve"> </w:t>
      </w:r>
      <w:r>
        <w:t xml:space="preserve">“</w:t>
      </w:r>
      <w:r>
        <w:t xml:space="preserve">Liquidation Preference greift bei Insolvenz</w:t>
      </w:r>
      <w:r>
        <w:t xml:space="preserve">”</w:t>
      </w:r>
      <w:r>
        <w:t xml:space="preserve"> </w:t>
      </w:r>
      <w:r>
        <w:t xml:space="preserve">gestrichen. Korrektur: Exit-Erlos-Waterfall, auch Share Deal/Asset Deal/Merger.</w:t>
      </w:r>
    </w:p>
    <w:p>
      <w:pPr>
        <w:pStyle w:val="BodyText"/>
      </w:pPr>
      <w:r>
        <w:rPr>
          <w:b/>
          <w:bCs/>
        </w:rPr>
        <w:t xml:space="preserve">08:05 - Adelheid:</w:t>
      </w:r>
      <w:r>
        <w:t xml:space="preserve"> </w:t>
      </w:r>
      <w:r>
        <w:t xml:space="preserve">Sehr gut. Das ist der Punkt, an dem Leute in Interviews oft stolpern.</w:t>
      </w:r>
    </w:p>
    <w:p>
      <w:pPr>
        <w:pStyle w:val="BodyText"/>
      </w:pPr>
      <w:r>
        <w:rPr>
          <w:b/>
          <w:bCs/>
        </w:rPr>
        <w:t xml:space="preserve">08:21 - Adelheid:</w:t>
      </w:r>
      <w:r>
        <w:t xml:space="preserve"> </w:t>
      </w:r>
      <w:r>
        <w:t xml:space="preserve">Ergebnis bis 10:30 bitte als 1-Seiter: Top-7 Begriffe, Top-5 deutsche Umsetzungsfragen, Top-3 Rückfragen an Mandantin, Senior-Gates.</w:t>
      </w:r>
    </w:p>
    <w:bookmarkEnd w:id="20"/>
    <w:bookmarkEnd w:id="21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chats/16 — WhatsApp Partner/Associate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2026-05-29T15:10:02Z</dcterms:created>
  <dcterms:modified xsi:type="dcterms:W3CDTF">2026-05-29T15:10:02Z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