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Wartung und Entstörung der Drucklinien</w:t>
      </w:r>
    </w:p>
    <w:p>
      <w:r>
        <w:t>Lieferantenfassung · 18.09.2026</w:t>
        <w:br/>
        <w:t>Bezug: WS-260828 · Betreuung Halle 2 ab 2027</w:t>
      </w:r>
    </w:p>
    <w:p>
      <w:r>
        <w:t>Sehr geehrte Vertragspartner,</w:t>
      </w:r>
    </w:p>
    <w:p>
      <w:pPr>
        <w:pStyle w:val="Heading1"/>
        <w:keepNext/>
        <w:spacing w:after="0"/>
      </w:pPr>
      <w:r>
        <w:t>1 Vertragsparteien und Zweck</w:t>
      </w:r>
    </w:p>
    <w:p>
      <w:pPr>
        <w:keepNext/>
        <w:spacing w:before="0" w:after="0" w:line="220" w:lineRule="exact"/>
        <w:rPr>
          <w:sz w:val="22"/>
          <w:szCs w:val="22"/>
        </w:rPr>
      </w:pPr>
    </w:p>
    <w:p>
      <w:r>
        <w:t>Die Fuldabogen Spezialdruck GmbH, Am Farbhof 18, 34123 Kassel, vertreten durch Maren Brückner, nachfolgend Auftraggeberin, und die Werkspur Maschinenservice GmbH, Werkhof 7, 34253 Lohfelden, vertreten durch Dirk Seidel, nachfolgend Auftragnehmerin, vereinbaren Wartung und Entstörung an den vorhandenen Maschinen am Standort Kassel. Maschinen werden weder verkauft noch vermietet. Diese Fassung vom 18. September 2026 ist der Vertragsvorschlag der Auftragnehmerin und noch nicht unterzeichnet.</w:t>
      </w:r>
    </w:p>
    <w:p>
      <w:pPr>
        <w:pStyle w:val="Heading1"/>
        <w:keepNext/>
        <w:spacing w:after="0"/>
      </w:pPr>
      <w:r>
        <w:t>2 Gedeckte Anlagen</w:t>
      </w:r>
    </w:p>
    <w:p>
      <w:pPr>
        <w:keepNext/>
        <w:spacing w:before="0" w:after="0" w:line="220" w:lineRule="exact"/>
        <w:rPr>
          <w:sz w:val="22"/>
          <w:szCs w:val="22"/>
        </w:rPr>
      </w:pPr>
    </w:p>
    <w:p>
      <w:r>
        <w:t>Erfasst sind K1 mit Seriennummer K1-18442 einschließlich UV-Trockner U1 und K2 mit Seriennummer K2-20117 einschließlich IR-Trockner T2 und Versorgung P-17. Grundlage ist das Anlagenregister AR-09 vom 8. September 2026. Das Fremdzuführmodul Z1, Hallenkompressor, Absaugzentrale und Produktionsleitsystem sind ausgenommen. Bei einem Fehler an der Schnittstelle Z1/K1 prüft die Auftragnehmerin den gedeckten Teil; Arbeiten am Fremdmodul bedürfen eines Zusatzauftrags. G1 wird nur für den Servicezugang unterstützt; ein Austausch ist nicht in der Wartungspauschale enthalten.</w:t>
      </w:r>
    </w:p>
    <w:p>
      <w:pPr>
        <w:pStyle w:val="Heading1"/>
        <w:keepNext/>
        <w:spacing w:after="0"/>
      </w:pPr>
      <w:r>
        <w:t>3 Regelmäßige Wartung</w:t>
      </w:r>
    </w:p>
    <w:p>
      <w:pPr>
        <w:keepNext/>
        <w:spacing w:before="0" w:after="0" w:line="220" w:lineRule="exact"/>
        <w:rPr>
          <w:sz w:val="22"/>
          <w:szCs w:val="22"/>
        </w:rPr>
      </w:pPr>
    </w:p>
    <w:p>
      <w:r>
        <w:t>Die Auftragnehmerin führt pro Kalenderjahr drei Wartungen je Linie im Januar, Mai und September durch. Jede Wartung umfasst Funktions- und Sicherheitskontrolle, Schmierung, Sensorreinigung, Prüfung der Trockner und einen halbstündigen Probelauf. Die Auftraggeberin stellt pro Linie vier Stunden Stillstandszeit und einen eingewiesenen Bediener bereit. Termine werden vier Wochen vorher abgestimmt. Muss ein Termin aus betrieblichen Gründen verlegt werden, ist er innerhalb von sechs Wochen nachzuholen. Die Auftragnehmerin übermittelt binnen drei Arbeitstagen ein Protokoll mit Befunden und Materialentnahmen.</w:t>
      </w:r>
    </w:p>
    <w:p>
      <w:pPr>
        <w:pStyle w:val="Heading1"/>
        <w:keepNext/>
        <w:spacing w:after="0"/>
      </w:pPr>
      <w:r>
        <w:t>4 Entstörung und Kontingente</w:t>
      </w:r>
    </w:p>
    <w:p>
      <w:pPr>
        <w:keepNext/>
        <w:spacing w:before="0" w:after="0" w:line="220" w:lineRule="exact"/>
        <w:rPr>
          <w:sz w:val="22"/>
          <w:szCs w:val="22"/>
        </w:rPr>
      </w:pPr>
    </w:p>
    <w:p>
      <w:r>
        <w:t>Im Paket Betrieb sind neben der Wartung insgesamt 40 Technikerstunden zur ungeplanten Entstörung pro Kalenderjahr enthalten, gleichgültig ob vor Ort oder per Fernzugriff. Fahrzeit und Anfahrt sind abgegolten und werden nicht auf das Stundenkontingent angerechnet. Die Auftragnehmerin führt ein nachvollziehbares Stundenkonto. Nicht verbrauchte Stunden werden nicht übertragen. Darüber hinausgehende Arbeit wird mit 125,00 EUR netto je Stunde in Viertelstunden berechnet; sie ist vorher freizugeben, außer bei unmittelbar erforderlichen Sicherungsmaßnahmen bis 500,00 EUR netto.</w:t>
      </w:r>
    </w:p>
    <w:p>
      <w:r>
        <w:br w:type="page"/>
      </w:r>
    </w:p>
    <w:p>
      <w:pPr>
        <w:pStyle w:val="Heading1"/>
        <w:keepNext/>
        <w:spacing w:after="0"/>
      </w:pPr>
      <w:r>
        <w:t>5 Servicezeiten und Rufbereitschaft</w:t>
      </w:r>
    </w:p>
    <w:p>
      <w:pPr>
        <w:keepNext/>
        <w:spacing w:before="0" w:after="0" w:line="220" w:lineRule="exact"/>
        <w:rPr>
          <w:sz w:val="22"/>
          <w:szCs w:val="22"/>
        </w:rPr>
      </w:pPr>
    </w:p>
    <w:p>
      <w:r>
        <w:t>Die reguläre Servicezeit ist montags bis freitags von 07:00 bis 18:00 Uhr. Ergänzend wird die kostenpflichtige Rufbereitschaft für Montag 00:00 Uhr bis Samstag 24:00 Uhr vereinbart. Hessische Feiertage sowie Sonntage sind ausgenommen. Die Auftraggeberin meldet Störungen telefonisch unter der bekannten Störungsnummer und nennt Anlagenkennung, Fehlerbild, Rückrufkontakt und einen sicheren Zugang. Ein unvollständiges Fehlerbild hindert die Annahme der Meldung nicht. Die Meldestelle vergibt eine Vorgangsnummer.</w:t>
      </w:r>
    </w:p>
    <w:p>
      <w:pPr>
        <w:pStyle w:val="Heading1"/>
        <w:keepNext/>
        <w:spacing w:after="0"/>
      </w:pPr>
      <w:r>
        <w:t>6 Reaktion und Wiederherstellung</w:t>
      </w:r>
    </w:p>
    <w:p>
      <w:pPr>
        <w:keepNext/>
        <w:spacing w:before="0" w:after="0" w:line="220" w:lineRule="exact"/>
        <w:rPr>
          <w:sz w:val="22"/>
          <w:szCs w:val="22"/>
        </w:rPr>
      </w:pPr>
    </w:p>
    <w:p>
      <w:r>
        <w:t>Bei vollständigem Stillstand einer gedeckten Linie beginnt innerhalb von 60 Minuten nach Eingang der Meldung ein qualifizierter Techniker mit Rückruf und Diagnose. Eine automatische Empfangsbestätigung genügt dafür nicht. Bei eingeschränkter Produktion beträgt die Frist vier Stunden. Die Fristen laufen nur innerhalb gedeckter Service- und Bereitschaftszeiten. Soweit ein Vor-Ort-Einsatz erforderlich ist, ist eine Ankunft innerhalb von sechs solchen Stunden angestrebt, aber nicht garantiert. Die Wiederherstellung hängt von Befund und Teileverfügbarkeit ab; eine feste Wiederherstellungsfrist wird nicht vereinbart. Die Auftragnehmerin berichtet während eines vollständigen Stillstands spätestens alle zwei Stunden über Fortschritt, benötigte Teile und den nächsten Schritt. Die Produktion mit verringerter Geschwindigkeit ist als Zwischenzustand zu dokumentieren.</w:t>
      </w:r>
    </w:p>
    <w:p>
      <w:pPr>
        <w:pStyle w:val="Heading1"/>
        <w:keepNext/>
        <w:spacing w:after="0"/>
      </w:pPr>
      <w:r>
        <w:t>7 Ersatzteile und Verbrauch</w:t>
      </w:r>
    </w:p>
    <w:p>
      <w:pPr>
        <w:keepNext/>
        <w:spacing w:before="0" w:after="0" w:line="220" w:lineRule="exact"/>
        <w:rPr>
          <w:sz w:val="22"/>
          <w:szCs w:val="22"/>
        </w:rPr>
      </w:pPr>
    </w:p>
    <w:p>
      <w:r>
        <w:t>Im Jahresentgelt sind gedeckte Ersatzteile bis insgesamt 3.500,00 EUR netto enthalten, sofern der einzelne Stückpreis 750,00 EUR netto nicht überschreitet. Maßgeblich ist der vor Einbau mitgeteilte Listenpreis ohne weiteren Zuschlag. Teurere Einzelteile sind vollständig gesondert zu bezahlen und werden nicht auf das Budget angerechnet. Antriebsmotoren, Steuerungsrechner, UV-Leuchtmittel, Farben und Waschmittel sind unabhängig vom Preis ausgenommen. Nach Ausschöpfung des Budgets werden gedeckte Teile gesondert bezahlt. Nicht verbrauchtes Budget verfällt am Jahresende. Die Auftragnehmerin weist jede Entnahme aus; Teile aus Zusatzumbauten belasten das Budget nicht. Für einen Beschaffungspreis über 500,00 EUR netto ist vorher eine Freigabe einzuholen.</w:t>
      </w:r>
    </w:p>
    <w:p>
      <w:pPr>
        <w:pStyle w:val="Heading1"/>
        <w:keepNext/>
        <w:spacing w:after="0"/>
      </w:pPr>
      <w:r>
        <w:t>8 Mitwirkung der Druckerei</w:t>
      </w:r>
    </w:p>
    <w:p>
      <w:pPr>
        <w:keepNext/>
        <w:spacing w:before="0" w:after="0" w:line="220" w:lineRule="exact"/>
        <w:rPr>
          <w:sz w:val="22"/>
          <w:szCs w:val="22"/>
        </w:rPr>
      </w:pPr>
    </w:p>
    <w:p>
      <w:r>
        <w:t>Die Auftraggeberin führt die täglichen Reinigungen und Bedienerkontrollen durch, sichert die Fehlerspeicher und schafft einen sicheren Arbeitsplatz. Sie muss Schutzvorrichtungen nicht überbrücken und keine Fachreparatur selbst vornehmen. Fehlende Mitwirkung verlängert eine betroffene Frist nur um die nachweislich hierdurch verursachte Verzögerung; die Auftragnehmerin benennt diese unverzüglich. Die Ursache einer Störung wird nicht allein wegen eines fehlenden Reinigungseintrags der Auftraggeberin zugerechnet.</w:t>
      </w:r>
    </w:p>
    <w:p>
      <w:r>
        <w:br w:type="page"/>
      </w:r>
    </w:p>
    <w:p>
      <w:pPr>
        <w:pStyle w:val="Heading1"/>
        <w:keepNext/>
        <w:spacing w:after="0"/>
      </w:pPr>
      <w:r>
        <w:t>9 Fernzugriff und Vertraulichkeit</w:t>
      </w:r>
    </w:p>
    <w:p>
      <w:pPr>
        <w:keepNext/>
        <w:spacing w:before="0" w:after="0" w:line="220" w:lineRule="exact"/>
        <w:rPr>
          <w:sz w:val="22"/>
          <w:szCs w:val="22"/>
        </w:rPr>
      </w:pPr>
    </w:p>
    <w:p>
      <w:r>
        <w:t>Die Auftraggeberin ermöglicht einen dauernd erreichbaren verschlüsselten Tunnel im Wartungsnetz nach Anschlussblatt RZ-06 vom 28. August 2026. Nur persönliche Konten von Tobias Grebe und Miriam Hesse mit zweitem Faktor erhalten Diagnosezugriff. Parameteränderungen bedürfen einer dokumentierten Freigabe des Schichtleiters. Der lokale Trennschalter bleibt verfügbar. Druckdateien und Kundenaufträge dürfen nicht eingesehen werden. Das freie Auftragsfeld ist vor Beginn auszublenden. Die Auftragnehmerin speichert Zugriffsprotokolle 180 Tage auf ihrem Server in Deutschland und gibt sie auf Anfrage heraus. Geheimhaltungsbedürftige Informationen dürfen nur für die Leistung verwendet werden. Vor Verarbeitung personenbezogener Daten klären die Parteien ihre jeweiligen Rollen und schließen, soweit erforderlich, eine gesonderte Vereinbarung; bis dahin werden solche Daten nicht übertragen. Ein Unterauftragnehmer erhält keinen Fernzugriff ohne vorherige Zustimmung der Auftraggeberin.</w:t>
      </w:r>
    </w:p>
    <w:p>
      <w:pPr>
        <w:pStyle w:val="Heading1"/>
        <w:keepNext/>
        <w:spacing w:after="0"/>
      </w:pPr>
      <w:r>
        <w:t>10 Vergütung und Nutzungsstufen</w:t>
      </w:r>
    </w:p>
    <w:p>
      <w:pPr>
        <w:keepNext/>
        <w:spacing w:before="0" w:after="0" w:line="220" w:lineRule="exact"/>
        <w:rPr>
          <w:sz w:val="22"/>
          <w:szCs w:val="22"/>
        </w:rPr>
      </w:pPr>
    </w:p>
    <w:p>
      <w:r>
        <w:t>Bei zusammen bis zu 9.600 Betriebsstunden beider Linien pro Kalenderjahr beträgt das Monatsentgelt für das Paket Betrieb 2.150,00 EUR netto. Über 9.600 bis zu 12.000 Stunden beträgt es 2.390,00 EUR netto. Hinzu kommen monatlich 450,00 EUR netto für Rufbereitschaft und 120,00 EUR netto für die Remote-Plattform. Die Auftraggeberin meldet ihre Planung vor Jahresbeginn und die Zählerstände jeweils zum Quartalsende. Die anfängliche Abrechnung richtet sich nach der gemeldeten Planung. Wird die Grenze von 9.600 Stunden überschritten, gilt die höhere Stufe rückwirkend ab 1. Januar des laufenden Jahres; gezahlte Beträge werden angerechnet. Oberhalb von 12.000 Stunden vereinbaren die Parteien einen neuen Preis; bis zu einer Einigung werden die bestehenden Leistungen zum Preis der höheren Stufe fortgeführt. Das alternative Grundwartungspaket ist nicht vereinbart.</w:t>
      </w:r>
    </w:p>
    <w:p>
      <w:pPr>
        <w:pStyle w:val="Heading1"/>
        <w:keepNext/>
        <w:spacing w:after="0"/>
      </w:pPr>
      <w:r>
        <w:t>11 Rechnung und Anpassung</w:t>
      </w:r>
    </w:p>
    <w:p>
      <w:pPr>
        <w:keepNext/>
        <w:spacing w:before="0" w:after="0" w:line="220" w:lineRule="exact"/>
        <w:rPr>
          <w:sz w:val="22"/>
          <w:szCs w:val="22"/>
        </w:rPr>
      </w:pPr>
    </w:p>
    <w:p>
      <w:r>
        <w:t>Die Monatsentgelte sind monatlich im Voraus in Rechnung zu stellen und binnen 14 Kalendertagen ab Rechnungszugang zu zahlen. Hinzu kommt die gesetzliche Umsatzsteuer. Erstmals zum 1. Januar 2028 darf das wiederkehrende Entgelt anhand der nachgewiesenen Veränderung der durchschnittlichen Techniker-Lohnkosten der Auftragnehmerin zu 60 Prozent und ihrer Beschaffungskosten gedeckter Ersatzteile zu 40 Prozent angepasst werden. Verglichen werden die Kostenstände vom 30. Juni des Vorjahres und vom 30. Juni des laufenden Jahres. Die Berechnung ist bis zum 30. September für das Folgejahr nachvollziehbar mitzuteilen. Senkungen sind ebenso weiterzugeben; der Veränderungssatz ist in beide Richtungen auf fünf Prozent pro Jahr begrenzt. Ohne fristgerechten Nachweis bleibt das Entgelt unverändert. Ein besonderes Kündigungsrecht allein wegen dieser Anpassung wird nicht eingeräumt.</w:t>
      </w:r>
    </w:p>
    <w:p>
      <w:r>
        <w:br w:type="page"/>
      </w:r>
    </w:p>
    <w:p>
      <w:pPr>
        <w:pStyle w:val="Heading1"/>
        <w:keepNext/>
        <w:spacing w:after="0"/>
      </w:pPr>
      <w:r>
        <w:t>12 Zusatzumbau und Abnahme</w:t>
      </w:r>
    </w:p>
    <w:p>
      <w:pPr>
        <w:keepNext/>
        <w:spacing w:before="0" w:after="0" w:line="220" w:lineRule="exact"/>
        <w:rPr>
          <w:sz w:val="22"/>
          <w:szCs w:val="22"/>
        </w:rPr>
      </w:pPr>
    </w:p>
    <w:p>
      <w:r>
        <w:t>Der Umbau nach Angebot U-260917 vom 17. September 2026 kann gesondert für 4.800,00 EUR netto beauftragt werden. Er gehört nicht zur monatlichen Wartung. Die Auftraggeberin zahlt bei Bestellung 50 Prozent, den Rest nach Abnahme. Die angebotene Rücklaufmessung und G2 werden nach gemeinsamem zweistündigem Probelauf mit Standardfarbe anhand von Druckanzeige, Alarm, Abschaltung und Zugriffsprotokoll geprüft. Die Parteien halten Restpunkte fest; unwesentliche Mängel hindern die Abnahme nicht. Die Produktionsnutzung allein gilt nicht als Abnahme. Bei Mängeln der Umbauleistung bessert die Auftragnehmerin innerhalb angemessener Frist nach. Die Frist für Mängelansprüche beträgt zwölf Monate ab Abnahme; zwingende längere Fristen bleiben unberührt. Eine Bestellung des Umbaus ist mit Unterzeichnung dieses Wartungsvertrags noch nicht erklärt.</w:t>
      </w:r>
    </w:p>
    <w:p>
      <w:pPr>
        <w:pStyle w:val="Heading1"/>
        <w:keepNext/>
        <w:spacing w:after="0"/>
      </w:pPr>
      <w:r>
        <w:t>13 Haftung</w:t>
      </w:r>
    </w:p>
    <w:p>
      <w:pPr>
        <w:keepNext/>
        <w:spacing w:before="0" w:after="0" w:line="220" w:lineRule="exact"/>
        <w:rPr>
          <w:sz w:val="22"/>
          <w:szCs w:val="22"/>
        </w:rPr>
      </w:pPr>
    </w:p>
    <w:p>
      <w:r>
        <w:t>Bei Vorsatz, grober Fahrlässigkeit und Verletzung von Leben, Körper oder Gesundheit haftet die Auftragnehmerin unbeschränkt. Bei leicht fahrlässiger Verletzung wesentlicher Vertragspflichten ist die Haftung auf den vorhersehbaren vertragstypischen Schaden und insgesamt auf ein im Schadensjahr geschuldetes Netto-Jahresentgelt der laufenden Betreuung begrenzt. Für leichte Fahrlässigkeit im Übrigen wird nicht gehaftet. In der begrenzten Haftung sind Produktionsausfall und entgangener Gewinn ausgeschlossen. Zwingende Haftung und ausdrücklich übernommene Garantien bleiben unberührt. Die Auftraggeberin dokumentiert behauptete Schäden und ergreift zumutbare Maßnahmen zur Schadensminderung; ein Ersatzanspruch wird durch eine technische Einsatzfreigabe nicht anerkannt.</w:t>
      </w:r>
    </w:p>
    <w:p>
      <w:pPr>
        <w:pStyle w:val="Heading1"/>
        <w:keepNext/>
        <w:spacing w:after="0"/>
      </w:pPr>
      <w:r>
        <w:t>14 Laufzeit und Kündigung</w:t>
      </w:r>
    </w:p>
    <w:p>
      <w:pPr>
        <w:keepNext/>
        <w:spacing w:before="0" w:after="0" w:line="220" w:lineRule="exact"/>
        <w:rPr>
          <w:sz w:val="22"/>
          <w:szCs w:val="22"/>
        </w:rPr>
      </w:pPr>
    </w:p>
    <w:p>
      <w:r>
        <w:t>Der Vertrag beginnt am 1. Januar 2027 und endet am 31. Dezember 2029 ohne automatische Verlängerung. Eine ordentliche Kündigung innerhalb dieser Zeit ist ausgeschlossen. Das Recht zur Kündigung aus wichtigem Grund bleibt beiden Parteien erhalten. Bei behebbaren Pflichtverletzungen ist zuvor eine angemessene Abhilfefrist zu setzen. Bei Vertragsende übergibt die Auftragnehmerin sämtliche noch nicht übermittelten Protokolle und sperrt ihre Konten; die Auftraggeberin trennt den Tunnel. Offene Einzelaufträge werden gesondert abgestimmt. Die Vereinbarung WS-2023-44 läuft unabhängig hiervon am 31. Dezember 2026 aus.</w:t>
      </w:r>
    </w:p>
    <w:p>
      <w:pPr>
        <w:pStyle w:val="Heading1"/>
        <w:keepNext/>
        <w:spacing w:after="0"/>
      </w:pPr>
      <w:r>
        <w:t>15 Unterlagen und Schlussbestimmungen</w:t>
      </w:r>
    </w:p>
    <w:p>
      <w:pPr>
        <w:keepNext/>
        <w:spacing w:before="0" w:after="0" w:line="220" w:lineRule="exact"/>
        <w:rPr>
          <w:sz w:val="22"/>
          <w:szCs w:val="22"/>
        </w:rPr>
      </w:pPr>
    </w:p>
    <w:p>
      <w:r>
        <w:t>Vertragsbestandteile sind diese Fassung, 03_Anlagenregister_Kassel_2026-09-08.pdf und 14_Remotezugang_RZ-06.pdf. Die abweichenden Regelungen dieses Vertrags gehen den Anlagen vor. 23_Umbauangebot_U-260917.pdf gilt nur für eine gesonderte Bestellung. Andere Allgemeine Geschäftsbedingungen werden nicht einbezogen. Vertragsänderungen und Kündigungen sind in Textform zu erklären. Individuelle Abreden bleiben unberührt. Deutsches Recht gilt; Gerichtsstand zwischen den Unternehmen ist Kassel. Sollte eine Bestimmung unwirksam sein, berührt dies die übrigen Bestimmungen nicht. Eine Ersatzregelung bedarf einer Vereinbarung und wird nicht automatisch fingiert.</w:t>
      </w:r>
    </w:p>
    <w:p>
      <w:pPr>
        <w:keepNext/>
      </w:pPr>
      <w:r>
        <w:t>Die Unterzeichnung steht aus. Die nachstehenden Unterschriftsfelder gehören zu dieser vollständigen Vertragsfassung.</w:t>
      </w:r>
    </w:p>
    <w:p>
      <w:pPr>
        <w:keepNext/>
        <w:spacing w:after="60"/>
      </w:pPr>
      <w:r>
        <w:t>Kassel / Lohfelden, Datum: ____________________</w:t>
      </w:r>
    </w:p>
    <w:p>
      <w:pPr>
        <w:keepNext/>
        <w:spacing w:after="60"/>
      </w:pPr>
      <w:r>
        <w:t>__________________________          __________________________</w:t>
      </w:r>
    </w:p>
    <w:p>
      <w:pPr>
        <w:keepNext/>
        <w:spacing w:after="60"/>
      </w:pPr>
      <w:r>
        <w:t>Maren Brückner                                 Dirk Seidel</w:t>
      </w:r>
    </w:p>
    <w:p>
      <w:pPr>
        <w:keepNext w:val="0"/>
        <w:spacing w:after="60"/>
      </w:pPr>
      <w:r>
        <w:t>Fuldabogen Spezialdruck GmbH           Werkspur Maschinenservice GmbH</w:t>
      </w:r>
    </w:p>
    <w:sectPr w:rsidR="00FC693F" w:rsidRPr="0006063C" w:rsidSect="00034616">
      <w:headerReference w:type="default" r:id="rId9"/>
      <w:footerReference w:type="default" r:id="rId10"/>
      <w:pgSz w:w="11906" w:h="16838"/>
      <w:pgMar w:top="1361" w:right="1134" w:bottom="1077" w:left="1134"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Lieferantenfassung · 18.09.2026 · FB-118</w:t>
      <w:br/>
    </w:r>
    <w:r>
      <w:rPr>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6"/>
      </w:rPr>
      <w:t>Werkspur Maschinenservice GmbH</w:t>
    </w:r>
    <w:r>
      <w:rPr>
        <w:sz w:val="18"/>
      </w:rPr>
      <w:br/>
      <w:t>Werkhof 7 · 34253 Lohfelden · service@werkspur-maschinenservice.de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50"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0"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 und Entstörungsvertrag Halle 2</dc:title>
  <dc:subject/>
  <dc:creator>Werkspur Maschinenservice GmbH</dc:creator>
  <cp:keywords/>
  <dc:description>generated by python-docx</dc:description>
  <cp:lastModifiedBy/>
  <cp:revision>1</cp:revision>
  <dcterms:created xsi:type="dcterms:W3CDTF">2026-09-18T09:00:00Z</dcterms:created>
  <dcterms:modified xsi:type="dcterms:W3CDTF">2026-09-18T09:00:00Z</dcterms:modified>
  <cp:category/>
</cp:coreProperties>
</file>