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Wartung und Entstörung der Drucklinien</w:t>
      </w:r>
    </w:p>
    <w:p>
      <w:r>
        <w:t>Druckereifassung · 21.09.2026</w:t>
        <w:br/>
        <w:t>Bezug: WS-260828 · Betreuung Halle 2 ab 2027</w:t>
      </w:r>
    </w:p>
    <w:p>
      <w:r>
        <w:t>Sehr geehrte Vertragspartner,</w:t>
      </w:r>
    </w:p>
    <w:p>
      <w:pPr>
        <w:pStyle w:val="Heading1"/>
        <w:keepNext/>
        <w:spacing w:after="0"/>
      </w:pPr>
      <w:r>
        <w:t>1 Vertragsparteien und Zweck</w:t>
      </w:r>
    </w:p>
    <w:p>
      <w:pPr>
        <w:keepNext/>
        <w:spacing w:before="0" w:after="0" w:line="220" w:lineRule="exact"/>
        <w:rPr>
          <w:sz w:val="22"/>
          <w:szCs w:val="22"/>
        </w:rPr>
      </w:pPr>
    </w:p>
    <w:p>
      <w:r>
        <w:t>Die Fuldabogen Spezialdruck GmbH, Am Farbhof 18, 34123 Kassel, vertreten durch Maren Brückner, nachfolgend Auftraggeberin, und die Werkspur Maschinenservice GmbH, Werkhof 7, 34253 Lohfelden, vertreten durch Dirk Seidel, nachfolgend Auftragnehmerin, vereinbaren die Betreuung der vorhandenen Sonderdrucklinien. Ein Kauf oder eine Anmietung der Maschinen findet nicht statt. Diese Fassung vom 21. September 2026 ist der Gegenentwurf der Auftraggeberin auf die Fassung vom 18. September 2026 und noch nicht unterzeichnet.</w:t>
      </w:r>
    </w:p>
    <w:p>
      <w:pPr>
        <w:pStyle w:val="Heading1"/>
        <w:keepNext/>
        <w:spacing w:after="0"/>
      </w:pPr>
      <w:r>
        <w:t>2 Gedeckte Anlagen und Schnittstellen</w:t>
      </w:r>
    </w:p>
    <w:p>
      <w:pPr>
        <w:keepNext/>
        <w:spacing w:before="0" w:after="0" w:line="220" w:lineRule="exact"/>
        <w:rPr>
          <w:sz w:val="22"/>
          <w:szCs w:val="22"/>
        </w:rPr>
      </w:pPr>
    </w:p>
    <w:p>
      <w:r>
        <w:t>Der Vertrag erfasst K1 mit Seriennummer K1-18442 samt UV-Trockner U1 und Zuführmodul Z1 sowie K2 mit Seriennummer K2-20117 samt IR-Trockner T2 und Versorgung P-17. Grundlage ist das Anlagenregister AR-09 vom 8. September 2026. Die gemeinsame Not-Halt-Kette zwischen Z1 und K1 wird einschließlich des Zuführmoduls betreut. Muss ein Fremdhersteller hinzugezogen werden, koordiniert ihn die Auftragnehmerin; eine gesonderte Vergütung ist zuvor zu vereinbaren. Die Diagnosefunktion des Gateways G1 ist eingeschlossen. Ein neuer G2 wird erst mit gesondert bestelltem Umbau aufgenommen. Kompressor, Absaugzentrale, Büronetz und Produktionsleitsystem verbleiben bei der Auftraggeberin.</w:t>
      </w:r>
    </w:p>
    <w:p>
      <w:pPr>
        <w:pStyle w:val="Heading1"/>
        <w:keepNext/>
        <w:spacing w:after="0"/>
      </w:pPr>
      <w:r>
        <w:t>3 Planmäßige Wartung</w:t>
      </w:r>
    </w:p>
    <w:p>
      <w:pPr>
        <w:keepNext/>
        <w:spacing w:before="0" w:after="0" w:line="220" w:lineRule="exact"/>
        <w:rPr>
          <w:sz w:val="22"/>
          <w:szCs w:val="22"/>
        </w:rPr>
      </w:pPr>
    </w:p>
    <w:p>
      <w:r>
        <w:t>Die Auftragnehmerin führt jährlich drei Wartungen pro Linie im Januar, Mai und September durch. Die Leistung umfasst Reinigung der Sensoren, Schmierung, Prüfung von Führungen, Antrieben, Trocknern, Zuführung und Sicherheitsketten sowie einen mindestens halbstündigen Probelauf. Für jede Linie wird vier Wochen vorher ein Stillstandsfenster von vier Stunden abgestimmt. Die Auftragnehmerin trägt die Verantwortung für die vollständige Dokumentation ihrer Arbeiten und übermittelt das Protokoll binnen drei Arbeitstagen. Kann ein Termin wegen eines Produktionsauftrags nicht stattfinden, stimmen beide Parteien einen Ersatztermin innerhalb von vier Wochen ab.</w:t>
      </w:r>
    </w:p>
    <w:p>
      <w:pPr>
        <w:pStyle w:val="Heading1"/>
        <w:keepNext/>
        <w:spacing w:after="0"/>
      </w:pPr>
      <w:r>
        <w:t>4 Entstörung und Arbeitsstunden</w:t>
      </w:r>
    </w:p>
    <w:p>
      <w:pPr>
        <w:keepNext/>
        <w:spacing w:before="0" w:after="0" w:line="220" w:lineRule="exact"/>
        <w:rPr>
          <w:sz w:val="22"/>
          <w:szCs w:val="22"/>
        </w:rPr>
      </w:pPr>
    </w:p>
    <w:p>
      <w:r>
        <w:t>Die Pauschale umfasst 60 Stunden ungeplante Technikerarbeit pro Kalenderjahr. Wartungsstunden und Fahrzeiten werden darauf nicht angerechnet. Fernarbeit und Vor-Ort-Zeit sind getrennt mit Beginn, Ende und Tätigkeit nachzuweisen; gleichzeitige Zeiten dürfen nicht doppelt zählen. Zusätzliche Arbeitsstunden kosten 115,00 EUR netto und bedürfen vor Ausführung einer Freigabe des Betriebsleiters. Unaufschiebbare Sicherungsmaßnahmen bis 500,00 EUR netto darf die Auftragnehmerin ohne vorherige Freigabe durchführen. Ungenutzte Stunden verfallen zum Jahresende; eine pauschale Nachbelastung ohne nachgewiesene Arbeit ist ausgeschlossen.</w:t>
      </w:r>
    </w:p>
    <w:p>
      <w:r>
        <w:br w:type="page"/>
      </w:r>
    </w:p>
    <w:p>
      <w:pPr>
        <w:pStyle w:val="Heading1"/>
        <w:keepNext/>
        <w:spacing w:after="0"/>
      </w:pPr>
      <w:r>
        <w:t>5 Rufbereitschaft und Meldung</w:t>
      </w:r>
    </w:p>
    <w:p>
      <w:pPr>
        <w:keepNext/>
        <w:spacing w:before="0" w:after="0" w:line="220" w:lineRule="exact"/>
        <w:rPr>
          <w:sz w:val="22"/>
          <w:szCs w:val="22"/>
        </w:rPr>
      </w:pPr>
    </w:p>
    <w:p>
      <w:r>
        <w:t>Die Auftragnehmerin hält für beide Linien an allen Kalendertagen einschließlich Sonn- und Feiertagen eine rund um die Uhr erreichbare Rufbereitschaft vor. Meldungen werden telefonisch angenommen; fehlende Diagnosekenntnisse der Schichtleitung hindern den Fristbeginn nicht. Erforderlich sind nur Anlagenkennung, beobachtetes Fehlerbild und Rückrufkontakt. Die Meldestelle dokumentiert den tatsächlichen Eingang. Die regelmäßige Wartung wird unabhängig davon montags bis freitags terminiert.</w:t>
      </w:r>
    </w:p>
    <w:p>
      <w:pPr>
        <w:pStyle w:val="Heading1"/>
        <w:keepNext/>
        <w:spacing w:after="0"/>
      </w:pPr>
      <w:r>
        <w:t>6 Reaktionszeit und Wiederherstellung</w:t>
      </w:r>
    </w:p>
    <w:p>
      <w:pPr>
        <w:keepNext/>
        <w:spacing w:before="0" w:after="0" w:line="220" w:lineRule="exact"/>
        <w:rPr>
          <w:sz w:val="22"/>
          <w:szCs w:val="22"/>
        </w:rPr>
      </w:pPr>
    </w:p>
    <w:p>
      <w:r>
        <w:t>Bei vollständigem Stillstand beginnt ein fachkundiger Techniker spätestens 30 Minuten nach Eingang der Meldung mit Diagnose und Rückruf. Eine automatische Nachricht oder die Annahme durch einen Telefonservice genügt nicht. Falls ein Einsatz vor Ort erforderlich ist, trifft der Techniker spätestens vier Zeitstunden nach Meldung ein. Die uneingeschränkte Betriebsfähigkeit ist innerhalb von acht Zeitstunden nach Meldung wiederherzustellen. Ein Lauf mit reduzierter Geschwindigkeit wahrt diese Frist nicht. Bei eingeschränkter Produktion erfolgt die technische Reaktion binnen zwei Zeitstunden und die Wiederherstellung binnen zwölf Zeitstunden. Alle Fristen laufen auch nachts, sonntags und an Feiertagen.</w:t>
      </w:r>
    </w:p>
    <w:p>
      <w:r>
        <w:t>Eine Frist verlängert sich nur um die dokumentierte Dauer einer von der Auftraggeberin verursachten Zugangssperre oder eines von keiner Partei beherrschbaren Ereignisses. Gewöhnliche Beschaffungszeiten für gedeckte Verschleißteile gehören nicht dazu. Ist die Wiederherstellung absehbar nicht erreichbar, meldet die Auftragnehmerin unverzüglich Ursache, Zwischenmaßnahmen und einen belastbaren Zeitplan. Überschreitet sie die Wiederherstellungsfrist aus von ihr zu vertretenden Gründen, wird für jede angefangene zusätzliche Vierstundenperiode eine Gutschrift von zwei Prozent des Monatsentgelts, höchstens zehn Prozent je Monat, erteilt. Weitergehende Ansprüche bleiben unter Anrechnung der Gutschrift unberührt.</w:t>
      </w:r>
    </w:p>
    <w:p>
      <w:pPr>
        <w:pStyle w:val="Heading1"/>
        <w:keepNext/>
        <w:spacing w:after="0"/>
      </w:pPr>
      <w:r>
        <w:t>7 Teileversorgung und Verbrauch</w:t>
      </w:r>
    </w:p>
    <w:p>
      <w:pPr>
        <w:keepNext/>
        <w:spacing w:before="0" w:after="0" w:line="220" w:lineRule="exact"/>
        <w:rPr>
          <w:sz w:val="22"/>
          <w:szCs w:val="22"/>
        </w:rPr>
      </w:pPr>
    </w:p>
    <w:p>
      <w:r>
        <w:t>Gedeckte Ersatz- und Verschleißteile sind bis insgesamt 6.000,00 EUR netto je Kalenderjahr enthalten. Eine zusätzliche Stückpreisgrenze gibt es nicht. Farben und Waschmittel sind ausgenommen; Pumpen, Antriebsmotoren und Steuerungsrechner sind eingeschlossen. UV-Leuchtmittel bleiben ausgenommen. Die Auftragnehmerin hält für P-17 ein geeignetes Austauschteil sowie ein Schlauchkit verfügbar. Einbaupreise werden vorab offengelegt. Nach Ausschöpfung des Jahresbudgets bedarf jede weitere Teilebestellung einer Freigabe. Im Zusatzumbau enthaltenes Material wird nicht auf das Budget angerechnet. Nicht verbrauchtes Budget wird nicht ausgezahlt und nicht übertragen.</w:t>
      </w:r>
    </w:p>
    <w:p>
      <w:r>
        <w:br w:type="page"/>
      </w:r>
    </w:p>
    <w:p>
      <w:pPr>
        <w:pStyle w:val="Heading1"/>
        <w:keepNext/>
        <w:spacing w:after="0"/>
      </w:pPr>
      <w:r>
        <w:t>8 Mitwirkung und Beweissicherung</w:t>
      </w:r>
    </w:p>
    <w:p>
      <w:pPr>
        <w:keepNext/>
        <w:spacing w:before="0" w:after="0" w:line="220" w:lineRule="exact"/>
        <w:rPr>
          <w:sz w:val="22"/>
          <w:szCs w:val="22"/>
        </w:rPr>
      </w:pPr>
    </w:p>
    <w:p>
      <w:r>
        <w:t>Die Auftraggeberin führt Bedienerkontrollen und tägliche Reinigung durch, stellt Probematerial sowie sichere Zugänge bereit und sichert die Fehlerspeicher. Sie ist nicht zu Reparaturen oder zur Überbrückung von Schutzschaltungen verpflichtet. Die Auftragnehmerin dokumentiert einen behaupteten Mitwirkungsmangel und dessen konkrete Auswirkung. Fehlende Einträge allein beweisen keine Fehlerursache. Ausgebaute schadhafte Teile werden gekennzeichnet und mindestens drei Monate zur gemeinsamen Untersuchung aufbewahrt.</w:t>
      </w:r>
    </w:p>
    <w:p>
      <w:pPr>
        <w:pStyle w:val="Heading1"/>
        <w:keepNext/>
        <w:spacing w:after="0"/>
      </w:pPr>
      <w:r>
        <w:t>9 Einzelzugriff und Vertraulichkeit</w:t>
      </w:r>
    </w:p>
    <w:p>
      <w:pPr>
        <w:keepNext/>
        <w:spacing w:before="0" w:after="0" w:line="220" w:lineRule="exact"/>
        <w:rPr>
          <w:sz w:val="22"/>
          <w:szCs w:val="22"/>
        </w:rPr>
      </w:pPr>
    </w:p>
    <w:p>
      <w:r>
        <w:t>Jeder Fernzugriff bedarf einer gesonderten, zeitlich auf den Einsatz begrenzten Freigabe durch den Schichtleiter. Ein dauernd offener Tunnel wird nicht eingerichtet. Die Auftragnehmerin verwendet persönliche Konten mit zweitem Faktor und trennt den Zugang nach Abschluss. Druckdateien, Kundendaten und Auftragsnamen dürfen nicht übertragen werden; das freie Auftragsfeld ist vor Inbetriebnahme auszublenden. Verbindungs- und Änderungsprotokolle sind der Auftraggeberin binnen eines Arbeitstags zu übergeben und bei Werkspur nach 30 Tagen zu löschen, soweit keine konkrete Störung weiter untersucht werden muss. Die Parteien klären vor einer Verarbeitung personenbezogener Daten ihre Rollen und schließen erforderliche zusätzliche Vereinbarungen. Ohne diese Klärung bleibt der Fernzugriff auf nicht personenbezogene Maschinendaten beschränkt. Das Anschlussblatt RZ-06 gilt nur, soweit es diesem Abschnitt nicht widerspricht. Externer Zugriff und Unterauftragnehmer bedürfen einer ausdrücklichen Zustimmung.</w:t>
      </w:r>
    </w:p>
    <w:p>
      <w:pPr>
        <w:pStyle w:val="Heading1"/>
        <w:keepNext/>
        <w:spacing w:after="0"/>
      </w:pPr>
      <w:r>
        <w:t>10 Monatspreis und Mehrnutzung</w:t>
      </w:r>
    </w:p>
    <w:p>
      <w:pPr>
        <w:keepNext/>
        <w:spacing w:before="0" w:after="0" w:line="220" w:lineRule="exact"/>
        <w:rPr>
          <w:sz w:val="22"/>
          <w:szCs w:val="22"/>
        </w:rPr>
      </w:pPr>
    </w:p>
    <w:p>
      <w:r>
        <w:t>Für insgesamt bis zu 12.000 Betriebsstunden beider Linien je Kalenderjahr beträgt das einheitliche Monatsentgelt 2.450,00 EUR netto. Es umfasst Wartung, das Arbeits- und Teilekontingent, Anfahrt, die Rufbereitschaft an allen Tagen und die Remote-Plattform. Separate Monatsaufschläge werden nicht erhoben. Die Auftraggeberin meldet quartalsweise die Zählerdifferenzen. Über 12.000 Stunden ist die zusätzliche Belastung zu besprechen; ein neuer Preis gilt nur aufgrund einer Vereinbarung für die Zukunft. Eine rückwirkende Nachbelastung oder ein Wegfall laufender Pflichten ohne Vereinbarung ist ausgeschlossen. Die Rechnung wird am Monatsende gestellt und ist 30 Kalendertage nach Zugang zahlbar. Die gesetzliche Umsatzsteuer kommt hinzu.</w:t>
      </w:r>
    </w:p>
    <w:p>
      <w:pPr>
        <w:pStyle w:val="Heading1"/>
        <w:keepNext/>
        <w:spacing w:after="0"/>
      </w:pPr>
      <w:r>
        <w:t>11 Jährliche Anpassung</w:t>
      </w:r>
    </w:p>
    <w:p>
      <w:pPr>
        <w:keepNext/>
        <w:spacing w:before="0" w:after="0" w:line="220" w:lineRule="exact"/>
        <w:rPr>
          <w:sz w:val="22"/>
          <w:szCs w:val="22"/>
        </w:rPr>
      </w:pPr>
    </w:p>
    <w:p>
      <w:r>
        <w:t>Erstmals zum 1. Januar 2028 ändert sich das wiederkehrende Monatsentgelt im Verhältnis der Veränderung des vom Statistischen Bundesamt veröffentlichten Verbraucherpreisindex für Deutschland, Gesamtindex, Juni 2027 gegenüber Juni 2026; danach werden jeweils die beiden letzten Juniwerte verglichen. Erhöhungen und Senkungen werden gleichermaßen berücksichtigt und sind auf drei Prozent pro Jahr begrenzt. Die Auftragnehmerin legt die verwendeten Werte und die Rechnung bis zum 30. September vor. Ohne fristgerechte Mitteilung wird eine Erhöhung nicht wirksam; eine Senkung bleibt zu berücksichtigen. Bei jeder Erhöhung darf die Auftraggeberin innerhalb von vier Wochen nach Mitteilung zum Jahresende kündigen. Einmalige Umbaupreise werden nicht indexiert.</w:t>
      </w:r>
    </w:p>
    <w:p>
      <w:r>
        <w:br w:type="page"/>
      </w:r>
    </w:p>
    <w:p>
      <w:pPr>
        <w:pStyle w:val="Heading1"/>
        <w:keepNext/>
        <w:spacing w:after="0"/>
      </w:pPr>
      <w:r>
        <w:t>12 Zusatzumbau und Abnahme</w:t>
      </w:r>
    </w:p>
    <w:p>
      <w:pPr>
        <w:keepNext/>
        <w:spacing w:before="0" w:after="0" w:line="220" w:lineRule="exact"/>
        <w:rPr>
          <w:sz w:val="22"/>
          <w:szCs w:val="22"/>
        </w:rPr>
      </w:pPr>
    </w:p>
    <w:p>
      <w:r>
        <w:t>Die Auftraggeberin kann die Rücklaufmessung und den Gatewaytausch gemäß Angebot U-260917 gesondert zu einem Festpreis von 4.200,00 EUR netto bestellen. Der Preis umfasst Montage, Dokumentation, Einweisung und einen sechsstündigen begleitenden Produktionslauf mit der im Nachtauftrag verwendeten Sonderfarbe. Die Parteien prüfen stabile Druckanzeige, Fehlerspeicher, Alarm, sichere Abschaltung und den nur einzeln freigegebenen Fernzugriff. Die Abnahme erfolgt ausdrücklich in einem gemeinsamen Protokoll. Produktionsnutzung oder Schweigen allein ersetzen sie nicht. Wesentliche Mängel hindern die Abnahme; unwesentliche Restpunkte erhalten einen Erledigungstermin. Der Preis wird 30 Tage nach Abnahme und Rechnung fällig, eine Anzahlung erfolgt nicht. Mängel der Umbauleistung werden auf Kosten der Auftragnehmerin behoben; Ansprüche verjähren in 24 Monaten ab Abnahme, soweit zwingendes Recht keine längere Frist vorgibt. Der Wartungsvertrag selbst löst keine Umbau-Bestellung aus.</w:t>
      </w:r>
    </w:p>
    <w:p>
      <w:pPr>
        <w:pStyle w:val="Heading1"/>
        <w:keepNext/>
        <w:spacing w:after="0"/>
      </w:pPr>
      <w:r>
        <w:t>13 Haftung und Ausfallschäden</w:t>
      </w:r>
    </w:p>
    <w:p>
      <w:pPr>
        <w:keepNext/>
        <w:spacing w:before="0" w:after="0" w:line="220" w:lineRule="exact"/>
        <w:rPr>
          <w:sz w:val="22"/>
          <w:szCs w:val="22"/>
        </w:rPr>
      </w:pPr>
    </w:p>
    <w:p>
      <w:r>
        <w:t>Die Auftragnehmerin haftet unbeschränkt bei Vorsatz, grober Fahrlässigkeit, Verletzung von Leben, Körper oder Gesundheit und nach zwingenden Haftungsvorschriften. Bei leicht fahrlässiger Verletzung wesentlicher Pflichten haftet sie für vorhersehbare vertragstypische Schäden bis 250.000,00 EUR je Schadensfall und 500.000,00 EUR je Kalenderjahr. Nachgewiesener Produktionsausfall und entgangener Gewinn sind innerhalb dieser Grenzen nicht pauschal ausgeschlossen. Im Übrigen ist die Haftung für leichte Fahrlässigkeit ausgeschlossen. Die Auftraggeberin legt konkrete Auftrags- und Schadensdaten vor und mindert Schäden, soweit zumutbar. Pauschale Umsatzausfälle ohne Nachweis werden hierdurch nicht anerkannt.</w:t>
      </w:r>
    </w:p>
    <w:p>
      <w:pPr>
        <w:pStyle w:val="Heading1"/>
        <w:keepNext/>
        <w:spacing w:after="0"/>
      </w:pPr>
      <w:r>
        <w:t>14 Laufzeit und Beendigung</w:t>
      </w:r>
    </w:p>
    <w:p>
      <w:pPr>
        <w:keepNext/>
        <w:spacing w:before="0" w:after="0" w:line="220" w:lineRule="exact"/>
        <w:rPr>
          <w:sz w:val="22"/>
          <w:szCs w:val="22"/>
        </w:rPr>
      </w:pPr>
    </w:p>
    <w:p>
      <w:r>
        <w:t>Der Vertrag beginnt am 1. Januar 2027 mit einer festen Erstlaufzeit bis zum 31. Dezember 2027. Er verlängert sich jeweils um ein Jahr, wenn keine Partei spätestens drei Monate vor Ablauf in Textform kündigt. Sonderkündigung nach Ziffer 11 und Kündigung aus wichtigem Grund bleiben unberührt. Bei behebbaren Pflichtverletzungen ist zuvor eine angemessene Abhilfefrist zu setzen. Bei Ende erhält die Auftraggeberin alle noch fehlenden Protokolle und Änderungen an den Steuerungen in einem gebräuchlichen lesbaren Format; die Auftragnehmerin sperrt ihre Zugänge. Begonnene Einzelaufträge werden gesondert abgestimmt. WS-2023-44 endet unabhängig davon am 31. Dezember 2026.</w:t>
      </w:r>
    </w:p>
    <w:p>
      <w:pPr>
        <w:pStyle w:val="Heading1"/>
        <w:keepNext/>
        <w:spacing w:after="0"/>
      </w:pPr>
      <w:r>
        <w:t>15 Anlagen und Schlussregelungen</w:t>
      </w:r>
    </w:p>
    <w:p>
      <w:pPr>
        <w:keepNext/>
        <w:spacing w:before="0" w:after="0" w:line="220" w:lineRule="exact"/>
        <w:rPr>
          <w:sz w:val="22"/>
          <w:szCs w:val="22"/>
        </w:rPr>
      </w:pPr>
    </w:p>
    <w:p>
      <w:r>
        <w:t>Bestandteile sind dieser Vertrag, 03_Anlagenregister_Kassel_2026-09-08.pdf und 14_Remotezugang_RZ-06.pdf, letzteres nur mit Vorrang der hier vereinbarten Beschränkungen. 23_Umbauangebot_U-260917.pdf ist Grundlage eines gesonderten Auftrags und wird durch Ziffer 12 nur für einen solchen Auftrag modifiziert. Weitere Allgemeine Geschäftsbedingungen gelten nicht. Änderungen und Kündigungen erfolgen in Textform; individuelle Abreden bleiben unberührt. Deutsches Recht ist vereinbart, Gerichtsstand zwischen den Unternehmen ist Kassel. Unwirksamkeit einer Bestimmung lässt die übrigen Regelungen bestehen; eine Ersatzbestimmung setzt eine gesonderte Vereinbarung voraus.</w:t>
      </w:r>
    </w:p>
    <w:p>
      <w:pPr>
        <w:keepNext/>
      </w:pPr>
      <w:r>
        <w:t>Die Unterzeichnung steht aus. Die nachstehenden Unterschriftsfelder gehören zu dieser vollständigen Vertragsfassung.</w:t>
      </w:r>
    </w:p>
    <w:p>
      <w:pPr>
        <w:keepNext/>
        <w:spacing w:after="60"/>
      </w:pPr>
      <w:r>
        <w:t>Kassel / Lohfelden, Datum: ____________________</w:t>
      </w:r>
    </w:p>
    <w:p>
      <w:pPr>
        <w:keepNext/>
        <w:spacing w:after="60"/>
      </w:pPr>
      <w:r>
        <w:t>__________________________          __________________________</w:t>
      </w:r>
    </w:p>
    <w:p>
      <w:pPr>
        <w:keepNext/>
        <w:spacing w:after="60"/>
      </w:pPr>
      <w:r>
        <w:t>Maren Brückner                                 Dirk Seidel</w:t>
      </w:r>
    </w:p>
    <w:p>
      <w:pPr>
        <w:keepNext w:val="0"/>
        <w:spacing w:after="60"/>
      </w:pPr>
      <w:r>
        <w:t>Fuldabogen Spezialdruck GmbH           Werkspur Maschinenservice GmbH</w:t>
      </w:r>
    </w:p>
    <w:sectPr w:rsidR="00FC693F" w:rsidRPr="0006063C" w:rsidSect="00034616">
      <w:headerReference w:type="default" r:id="rId9"/>
      <w:footerReference w:type="default" r:id="rId10"/>
      <w:pgSz w:w="11906" w:h="16838"/>
      <w:pgMar w:top="1361" w:right="1134" w:bottom="1077" w:left="1134"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Druckereifassung · 21.09.2026 · FB-118</w:t>
      <w:br/>
    </w:r>
    <w:r>
      <w:rPr>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6"/>
      </w:rPr>
      <w:t>Fuldabogen Spezialdruck GmbH</w:t>
    </w:r>
    <w:r>
      <w:rPr>
        <w:sz w:val="18"/>
      </w:rPr>
      <w:br/>
      <w:t>Am Farbhof 18 · 34123 Kassel · einkauf@fuldabogen-spezialdruck.de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line="250"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0"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Wartungs- und Entstörungsvertrag Halle 2</dc:title>
  <dc:subject/>
  <dc:creator>Fuldabogen Spezialdruck GmbH</dc:creator>
  <cp:keywords/>
  <dc:description>generated by python-docx</dc:description>
  <cp:lastModifiedBy/>
  <cp:revision>1</cp:revision>
  <dcterms:created xsi:type="dcterms:W3CDTF">2026-09-21T09:00:00Z</dcterms:created>
  <dcterms:modified xsi:type="dcterms:W3CDTF">2026-09-21T09:00:00Z</dcterms:modified>
  <cp:category/>
</cp:coreProperties>
</file>