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Radstube Kettenglück | Werkstattbedingungen</w:t>
      </w:r>
    </w:p>
    <w:p>
      <w:pPr>
        <w:widowControl/>
      </w:pPr>
      <w:r>
        <w:t>Fahrradhof 8 · 04229 Leipzig</w:t>
        <w:br/>
        <w:t>Aushang am Annahmeschalter, zuletzt ersetzt im Juni 2022</w:t>
      </w:r>
    </w:p>
    <w:p>
      <w:pPr>
        <w:widowControl/>
      </w:pPr>
      <w:r>
        <w:t>1 Auftrag</w:t>
        <w:br/>
        <w:t>Mit der Abgabe des Fahrrads genehmigt der Kunde alle zur Verkehrssicherheit erforderlichen Arbeiten. Kostenschätzungen sind unverbindlich. Ein Diagnoseentgelt von 39 Euro fällt in jedem Fall an.</w:t>
      </w:r>
    </w:p>
    <w:p>
      <w:pPr>
        <w:widowControl/>
      </w:pPr>
      <w:r>
        <w:t>2 Fertigstellung</w:t>
        <w:br/>
        <w:t>Genannte Fertigstellungstermine sind unverbindlich. Nach unserer Nachricht ist das Rad binnen drei Tagen abzuholen. Mit Ablauf dieser Frist gilt die Arbeit als abgenommen und die Rechnung als anerkannt.</w:t>
      </w:r>
    </w:p>
    <w:p>
      <w:pPr>
        <w:widowControl/>
      </w:pPr>
      <w:r>
        <w:t>3 Zahlung</w:t>
        <w:br/>
        <w:t>Zahlung erfolgt bei Abholung. Eine Aufrechnung ist nur mit unbestrittenen oder rechtskräftig festgestellten Forderungen zulässig. Auch bei behaupteten Mängeln ist die gesamte Rechnung zuerst zu zahlen.</w:t>
      </w:r>
    </w:p>
    <w:p>
      <w:pPr>
        <w:widowControl/>
      </w:pPr>
      <w:r>
        <w:t>4 Aufbewahrung</w:t>
        <w:br/>
        <w:t>Ab dem vierten Tag nach Fertigstellung berechnen wir fünf Euro je Kalendertag. Nach vier Wochen dürfen wir das Fahrrad auf Rechnung des Kunden verkaufen. Das gilt auch, wenn der Kunde nur Leasingnehmer ist.</w:t>
      </w:r>
    </w:p>
    <w:p>
      <w:pPr>
        <w:widowControl/>
      </w:pPr>
      <w:r>
        <w:t>5 Mängel und Haftung</w:t>
        <w:br/>
        <w:t>Beanstandungen sind binnen sieben Tagen zu melden. Für Schäden an mitgebrachten Akkus, Zubehör oder Gepäck wird nicht gehaftet. Unsere Haftung ist auf den Auftragswert beschränkt. Bei Probefahrten trägt der Kunde das Risiko.</w:t>
      </w:r>
    </w:p>
    <w:p>
      <w:pPr>
        <w:widowControl/>
      </w:pPr>
      <w:r>
        <w:t>6 Online-Termine</w:t>
        <w:br/>
        <w:t>Online gebuchte Termine sind verbindlich. Bei Nichterscheinen werden 39 Euro berechnet. Mit der Buchung verzichtet der Kunde auf alle Widerrufsrechte, damit wir sofort anfangen können.</w:t>
      </w:r>
    </w:p>
    <w:p>
      <w:pPr>
        <w:widowControl/>
      </w:pPr>
      <w:r>
        <w:t>7 Sonstiges</w:t>
        <w:br/>
        <w:t>Mündliche Nebenabreden gelten nicht. Änderungen bedürfen der Schriftform. Gerichtsstand ist Leipzig. Unwirksame Bestimmungen werden durch zulässige Bestimmungen gleichen wirtschaftlichen Inhalts ersetzt.</w:t>
        <w:br/>
        <w:t>Ablagevermerk: Ausdruck aus alter Kassensoftware, Datei nicht mehr bearbeitbar.</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Radstube Kettenglück | Werkstattbedingungen</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