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Pfotenproviant Handel GmbH | Vertriebsbesprechung</w:t>
      </w:r>
    </w:p>
    <w:p>
      <w:pPr>
        <w:widowControl/>
      </w:pPr>
      <w:r>
        <w:t>Kräutergasse 27 · 90403 Nürnberg · service@pfotenproviant.example</w:t>
        <w:br/>
        <w:t>6. Oktober 2026, 10:00 Uhr · Teilnehmer Ottilie Pfotenreich, Rüdiger Leinenstern, Mila Konfetti</w:t>
        <w:br/>
        <w:t>Betreff: Laden, Webshop und Händlerbestellungen</w:t>
      </w:r>
    </w:p>
    <w:p>
      <w:pPr>
        <w:widowControl/>
      </w:pPr>
      <w:r>
        <w:t>Der Betrieb verkauft Trockenfutter, Dosenfutter, Spielzeug, Leinen und Schlafplätze. Lebende Tiere werden nicht verkauft. Im Laden arbeiten sechs Beschäftigte, Versand und Lager sitzen im gleichen Gebäude. Online werden Privatkunden in Deutschland beliefert. Acht kleinere Fachgeschäfte bestellen per E-Mail zu Nettopreisen und mit 30 Tagen Zahlungsziel.</w:t>
      </w:r>
    </w:p>
    <w:p>
      <w:pPr>
        <w:widowControl/>
      </w:pPr>
      <w:r>
        <w:t>Im Shop gibt es zwei Wege: sofort bezahlen und abholen oder unverbindlich zurücklegen lassen. Die Bestätigungen sehen fast gleich aus. An der Kasse wird deshalb auch bei schon bezahlten Onlinebestellungen von einem normalen Ladenkauf gesprochen. Mila möchte zwei deutlich unterschiedliche Bestätigungstexte.</w:t>
      </w:r>
    </w:p>
    <w:p>
      <w:pPr>
        <w:widowControl/>
      </w:pPr>
      <w:r>
        <w:t>Bei Ladenkäufen nehmen wir unbenutztes Zubehör binnen 30 Tagen gegen Gutschein zurück. Für Futter wird das nicht angeboten. Ein Aushang sagt verkürzt „Kein Umtausch bei Futter“. Kunden verstehen darunter zum Teil auch beschädigte Dosen. Das Team benötigt eine knappe, richtige Erklärung für Reklamationen.</w:t>
      </w:r>
    </w:p>
    <w:p>
      <w:pPr>
        <w:widowControl/>
      </w:pPr>
      <w:r>
        <w:t>Ein Futtersparpaket soll ab November alle vier Wochen versandt werden. Preis geplant 42 Euro je Paket einschließlich Umsatzsteuer; jederzeit zum nächsten Versand abbestellbar, spätestens drei Tage vorher. Noch unklar ist, ob ein Dauerkauf vereinbart wird oder jeder Versand einen neuen Vertrag bildet. Bisher wird es nicht verkauft.</w:t>
      </w:r>
    </w:p>
    <w:p>
      <w:pPr>
        <w:widowControl/>
      </w:pPr>
      <w:r>
        <w:t>Bei Händlern möchten wir die gelieferten Waren bis zur Zahlung abgesichert haben. Ein Händler hat angekündigt, seine Kundenforderungen an eine Bank abzutreten. Waldnapf liefert uns seinerseits unter verlängertem Eigentumsvorbehalt. Die Kanzlei soll hierzu die Vertragskette sehen, bevor ein Text beschlossen wird.</w:t>
      </w:r>
    </w:p>
    <w:p>
      <w:pPr>
        <w:widowControl/>
      </w:pPr>
      <w:r>
        <w:t>Gewünschte Ausrichtung: im Privatkundengeschäft ausgewogen und verständlich, im Händlergeschäft möglichst wirksam abgesichert. Keine öffentliche Änderung vor Freigabe durch Ottilie. Vertragsbedingungen und Kassentexte sollen getrennt bleiben.</w:t>
        <w:br/>
        <w:t>Protokoll: Rüdiger Leinenstern, 6. Oktober 2026, 11:12 Uhr</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Pfotenproviant Handel GmbH | Vertriebsbesprechung</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