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Telefonvermerke der Kanzlei Feldmann, Familienrecht, Bad Nauheim</w:t>
      </w:r>
    </w:p>
    <w:p>
      <w:pPr>
        <w:jc w:val="left"/>
      </w:pPr>
      <w:r>
        <w:t>Aktenzeichen 87/26 F / kf, Neumann gegen Neumann</w:t>
      </w:r>
    </w:p>
    <w:p>
      <w:pPr>
        <w:jc w:val="left"/>
      </w:pPr>
      <w:r>
        <w:t>Aufgenommen von Rechtsanwaltsfachangestellter Hannah Klose, Ziffer 3 von Rechtsanwältin Katharina Feldmann</w:t>
      </w:r>
    </w:p>
    <w:p>
      <w:pPr>
        <w:jc w:val="left"/>
      </w:pPr>
      <w:r>
        <w:t>1 Anruf Dr. Elena Neumann am 25. Juni 2026, 12:38 Uhr bis 12:51 Uhr</w:t>
      </w:r>
    </w:p>
    <w:p>
      <w:pPr>
        <w:jc w:val="left"/>
      </w:pPr>
      <w:r>
        <w:t>Frau Dr. Neumann ruft aus der Mittagspause des Medizinischen Versorgungszentrums Wetterau an. Sie berichtet, dass die Rate der TaunusSparkasse am 7. Juni erneut in voller Höhe von 1.840,00 EUR vom Hauskonto abgebucht worden sei, während vom Ehemann nur 640,00 EUR eingegangen seien. Auf dem Hauskonto stünden am Vormittag noch 212,64 EUR. Die Hortgebühr für Juli über 174,00 EUR werde am 5. Juli abgebucht, die Anzahlung für die Klassenfahrt von Paula über 410,00 EUR sei bis zum 15. Juli fällig. Sie fragt, ob sie die Klassenfahrt aus dem Girokonto vorstrecken solle; hierzu ist ihr ein Rückruf nach Prüfung des Kontostands zugesagt worden. Frau Dr. Neumann erwähnt außerdem, dass ihr Ehemann das Familien-Tablet am 6. Juni abgemeldet habe und die Nachricht des Depotanbieters seitdem nicht mehr aufrufbar sei. Ein Bildschirmfoto habe sie nicht angefertigt.</w:t>
      </w:r>
    </w:p>
    <w:p>
      <w:pPr>
        <w:jc w:val="left"/>
      </w:pPr>
      <w:r>
        <w:t>2 Anruf Optik Leiser, Frau Sieglinde Leiser, am 25. Juni 2026, 15:10 Uhr bis 15:14 Uhr</w:t>
      </w:r>
    </w:p>
    <w:p>
      <w:pPr>
        <w:jc w:val="left"/>
      </w:pPr>
      <w:r>
        <w:t>Frau Leiser bestätigt, dass die Brille für Clara Neumann am 22. Mai 2026 abgeholt und mit 318,40 EUR abgerechnet worden sei. Die Anzahlung von 100,00 EUR sei am 4. Mai in Bargeld erfolgt. Der Endbetrag sei mit Girokarte bezahlt worden. Die Differenz zu dem ursprünglich genannten Betrag von 286,00 EUR beruhe auf höher brechenden Gläsern, die erst nach der Messung am 15. Mai bestellt worden seien. Eine Zweitschrift der Rechnung wird an die Kanzlei versandt.</w:t>
      </w:r>
    </w:p>
    <w:p>
      <w:pPr>
        <w:jc w:val="left"/>
      </w:pPr>
      <w:r>
        <w:t>3 Anruf Rechtsanwalt Steffen Graubach am 26. Juni 2026, 09:20 Uhr bis 09:29 Uhr</w:t>
      </w:r>
    </w:p>
    <w:p>
      <w:pPr>
        <w:jc w:val="left"/>
      </w:pPr>
      <w:r>
        <w:t>Herr Kollege Graubach teilt mit, sein Mandant befinde sich vom 1. bis 14. Juli 2026 im Urlaub und werde die Gehaltsabrechnungen für April bis Juni erst nach der Rückkehr zusammenstellen. Zur Einnahmen-Überschuss-Rechnung des Ingenieurbüros erklärt er, die Buchhaltung liege bei der Steuerberatungsgesellschaft in Friedberg und werde dort erst im August abgeschlossen. Nach dem Depotverkauf vom 6. Juni gefragt, antwortet er, hierzu habe er keine Weisung; sein Mandant habe von einer Steuerrücklage gesprochen. Die Zielvereinbarung 2026 und den Darlehensvertrag mit den Eltern seines Mandanten will er prüfen und sich bis zum 3. Juli äußern. Auf den Hinweis, dass die Rate der TaunusSparkasse vollständig vom Hauskonto abgehe, erwidert er, sein Mandant nutze das Haus nicht und trage die vereinbarten 640,00 EUR.</w:t>
      </w:r>
    </w:p>
    <w:p>
      <w:pPr>
        <w:jc w:val="left"/>
      </w:pPr>
      <w:r>
        <w:t>4 Notiz zum Rückruf</w:t>
      </w:r>
    </w:p>
    <w:p>
      <w:pPr>
        <w:jc w:val="left"/>
      </w:pPr>
      <w:r>
        <w:t>Der Rückruf an Frau Dr. Neumann ist am 26. Juni 2026 um 17:05 Uhr erfolgt. Sie hat mitgeteilt, sie werde die Unterlagen am 28. Juni persönlich am Empfang abgeben. Der Termin zur Durchsicht der Originale ist auf den 6. Juli 2026, 14:00 Uhr, notiert.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Rechtsanwältin Katharina Feldmann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2"/>
      </w:rPr>
      <w:t>RECHTSANWÄLTIN KATHARINA FELDMANN</w:t>
    </w:r>
  </w:p>
  <w:p>
    <w:pPr>
      <w:jc w:val="left"/>
      <w:pBdr>
        <w:bottom w:val="single" w:sz="8" w:space="2" w:color="11555F"/>
      </w:pBdr>
    </w:pPr>
    <w:r>
      <w:rPr>
        <w:rFonts w:ascii="Times New Roman" w:hAnsi="Times New Roman"/>
        <w:color w:val="6B6B66"/>
        <w:sz w:val="16"/>
      </w:rPr>
      <w:t>Ziffer 3 von Rechtsanwältin Katharina Feldmann · Aktenzeichen 87/26 F / kf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