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Bürgerbank Innerstetal</w:t>
        <w:br/>
        <w:t>Kundenservice Gemeinschaftskonten</w:t>
        <w:br/>
        <w:t>bank@innerstetal.example</w:t>
      </w:r>
    </w:p>
    <w:p>
      <w:r>
        <w:t>Gemeinschaft der Wohnungseigentümer Kleinhausen</w:t>
        <w:br/>
        <w:t>Lindenweg 5, 31139 Hildesheim</w:t>
      </w:r>
    </w:p>
    <w:p>
      <w:pPr>
        <w:pStyle w:val="Title"/>
      </w:pPr>
      <w:r>
        <w:t>Betriebskonto Kleinhausen Jahresübersicht 2025</w:t>
      </w:r>
    </w:p>
    <w:p>
      <w:r>
        <w:t>07.01.2026</w:t>
      </w:r>
    </w:p>
    <w:p>
      <w:r>
        <w:t>Das Betriebskonto KH-B wird im Namen der Gemeinschaft geführt. Es weist am 1. Januar 2025 einen Anfangsbestand von 1.000,00 EUR und am 31. Dezember 2025 einen Schlussbestand von 1.340,00 EUR aus. Alle Beträge dieser Übersicht sind in EUR angegeben.</w:t>
      </w:r>
    </w:p>
    <w:p>
      <w:r>
        <w:t>Im Jahr 2025 gingen 60 Hausgeldraten von jeweils 125,00 EUR ein. Die Summe beträgt 7.500,00 EUR. Die Zahlungen betreffen jeweils zwölf Raten für jede der fünf Wohnungen. Rückgaben oder Stornobuchungen gab es nicht. Die Ausgaben an Versorger, Dienstleister und Bank betragen zusammen 5.660,00 EUR. Zusätzlich wurden am 29. Dezember 1.500,00 EUR auf das Rücklagenkonto KH-R übertragen.</w:t>
      </w:r>
    </w:p>
    <w:p>
      <w:r>
        <w:t>Die nachstehende Monatsübersicht fasst sämtliche Bewegungen des Jahres zusammen. Die vollständigen 116 Einzelbuchungen einschließlich der Rücklagenübertragung sind im mitgelieferten Blatt Bankbuch der Datei 06_Abrechnung_2025_Arbeitsdatei.xlsx enthalten. Der dort vorangestellte Anfangsbestand ist keine Einzahlung des Jahres. Die Bankreferenz entspricht jeweils dem Beleg oder der Wohnungsnummer.</w:t>
      </w:r>
    </w:p>
    <w:p>
      <w:r>
        <w:t>Das Konto ist ein Guthabenkonto. Die hier ausgewiesenen Kontoführungsentgelte sind vollständig gebucht; zusätzliche Jahresgebühren fallen nicht an.</w:t>
      </w:r>
    </w:p>
    <w:tbl>
      <w:tblPr>
        <w:tblStyle w:val="TableGrid"/>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860"/>
        <w:gridCol w:w="1860"/>
        <w:gridCol w:w="1860"/>
        <w:gridCol w:w="1860"/>
        <w:gridCol w:w="1860"/>
      </w:tblGrid>
      <w:tr>
        <w:trPr>
          <w:tblHeader/>
        </w:trPr>
        <w:tc>
          <w:tcPr>
            <w:tcW w:type="dxa" w:w="1860"/>
            <w:vAlign w:val="center"/>
            <w:shd w:fill="E8EDF1"/>
          </w:tcPr>
          <w:p>
            <w:pPr>
              <w:spacing w:after="80"/>
            </w:pPr>
            <w:r>
              <w:rPr>
                <w:b/>
                <w:sz w:val="20"/>
              </w:rPr>
              <w:t>Monat</w:t>
            </w:r>
          </w:p>
        </w:tc>
        <w:tc>
          <w:tcPr>
            <w:tcW w:type="dxa" w:w="1860"/>
            <w:vAlign w:val="center"/>
            <w:shd w:fill="E8EDF1"/>
          </w:tcPr>
          <w:p>
            <w:pPr>
              <w:spacing w:after="80"/>
            </w:pPr>
            <w:r>
              <w:rPr>
                <w:b/>
                <w:sz w:val="20"/>
              </w:rPr>
              <w:t>Eingang</w:t>
            </w:r>
          </w:p>
        </w:tc>
        <w:tc>
          <w:tcPr>
            <w:tcW w:type="dxa" w:w="1860"/>
            <w:vAlign w:val="center"/>
            <w:shd w:fill="E8EDF1"/>
          </w:tcPr>
          <w:p>
            <w:pPr>
              <w:spacing w:after="80"/>
            </w:pPr>
            <w:r>
              <w:rPr>
                <w:b/>
                <w:sz w:val="20"/>
              </w:rPr>
              <w:t>Kosten</w:t>
            </w:r>
          </w:p>
        </w:tc>
        <w:tc>
          <w:tcPr>
            <w:tcW w:type="dxa" w:w="1860"/>
            <w:vAlign w:val="center"/>
            <w:shd w:fill="E8EDF1"/>
          </w:tcPr>
          <w:p>
            <w:pPr>
              <w:spacing w:after="80"/>
            </w:pPr>
            <w:r>
              <w:rPr>
                <w:b/>
                <w:sz w:val="20"/>
              </w:rPr>
              <w:t>Rücklage</w:t>
            </w:r>
          </w:p>
        </w:tc>
        <w:tc>
          <w:tcPr>
            <w:tcW w:type="dxa" w:w="1860"/>
            <w:vAlign w:val="center"/>
            <w:shd w:fill="E8EDF1"/>
          </w:tcPr>
          <w:p>
            <w:pPr>
              <w:spacing w:after="80"/>
            </w:pPr>
            <w:r>
              <w:rPr>
                <w:b/>
                <w:sz w:val="20"/>
              </w:rPr>
              <w:t>Schlussbestand</w:t>
            </w:r>
          </w:p>
        </w:tc>
      </w:tr>
      <w:tr>
        <w:tc>
          <w:tcPr>
            <w:tcW w:type="dxa" w:w="1860"/>
            <w:vAlign w:val="center"/>
          </w:tcPr>
          <w:p>
            <w:pPr>
              <w:spacing w:after="80"/>
            </w:pPr>
            <w:r>
              <w:rPr>
                <w:sz w:val="20"/>
              </w:rPr>
              <w:t>01/2025</w:t>
            </w:r>
          </w:p>
        </w:tc>
        <w:tc>
          <w:tcPr>
            <w:tcW w:type="dxa" w:w="1860"/>
            <w:vAlign w:val="center"/>
          </w:tcPr>
          <w:p>
            <w:pPr>
              <w:spacing w:after="80"/>
            </w:pPr>
            <w:r>
              <w:rPr>
                <w:sz w:val="20"/>
              </w:rPr>
              <w:t>625,00 EUR</w:t>
            </w:r>
          </w:p>
        </w:tc>
        <w:tc>
          <w:tcPr>
            <w:tcW w:type="dxa" w:w="1860"/>
            <w:vAlign w:val="center"/>
          </w:tcPr>
          <w:p>
            <w:pPr>
              <w:spacing w:after="80"/>
            </w:pPr>
            <w:r>
              <w:rPr>
                <w:sz w:val="20"/>
              </w:rPr>
              <w:t>1.180,00 EUR</w:t>
            </w:r>
          </w:p>
        </w:tc>
        <w:tc>
          <w:tcPr>
            <w:tcW w:type="dxa" w:w="1860"/>
            <w:vAlign w:val="center"/>
          </w:tcPr>
          <w:p>
            <w:pPr>
              <w:spacing w:after="80"/>
            </w:pPr>
            <w:r>
              <w:rPr>
                <w:sz w:val="20"/>
              </w:rPr>
              <w:t>0,00 EUR</w:t>
            </w:r>
          </w:p>
        </w:tc>
        <w:tc>
          <w:tcPr>
            <w:tcW w:type="dxa" w:w="1860"/>
            <w:vAlign w:val="center"/>
          </w:tcPr>
          <w:p>
            <w:pPr>
              <w:spacing w:after="80"/>
            </w:pPr>
            <w:r>
              <w:rPr>
                <w:sz w:val="20"/>
              </w:rPr>
              <w:t>445,00 EUR</w:t>
            </w:r>
          </w:p>
        </w:tc>
      </w:tr>
      <w:tr>
        <w:tc>
          <w:tcPr>
            <w:tcW w:type="dxa" w:w="1860"/>
            <w:vAlign w:val="center"/>
          </w:tcPr>
          <w:p>
            <w:pPr>
              <w:spacing w:after="80"/>
            </w:pPr>
            <w:r>
              <w:rPr>
                <w:sz w:val="20"/>
              </w:rPr>
              <w:t>02/2025</w:t>
            </w:r>
          </w:p>
        </w:tc>
        <w:tc>
          <w:tcPr>
            <w:tcW w:type="dxa" w:w="1860"/>
            <w:vAlign w:val="center"/>
          </w:tcPr>
          <w:p>
            <w:pPr>
              <w:spacing w:after="80"/>
            </w:pPr>
            <w:r>
              <w:rPr>
                <w:sz w:val="20"/>
              </w:rPr>
              <w:t>625,00 EUR</w:t>
            </w:r>
          </w:p>
        </w:tc>
        <w:tc>
          <w:tcPr>
            <w:tcW w:type="dxa" w:w="1860"/>
            <w:vAlign w:val="center"/>
          </w:tcPr>
          <w:p>
            <w:pPr>
              <w:spacing w:after="80"/>
            </w:pPr>
            <w:r>
              <w:rPr>
                <w:sz w:val="20"/>
              </w:rPr>
              <w:t>780,00 EUR</w:t>
            </w:r>
          </w:p>
        </w:tc>
        <w:tc>
          <w:tcPr>
            <w:tcW w:type="dxa" w:w="1860"/>
            <w:vAlign w:val="center"/>
          </w:tcPr>
          <w:p>
            <w:pPr>
              <w:spacing w:after="80"/>
            </w:pPr>
            <w:r>
              <w:rPr>
                <w:sz w:val="20"/>
              </w:rPr>
              <w:t>0,00 EUR</w:t>
            </w:r>
          </w:p>
        </w:tc>
        <w:tc>
          <w:tcPr>
            <w:tcW w:type="dxa" w:w="1860"/>
            <w:vAlign w:val="center"/>
          </w:tcPr>
          <w:p>
            <w:pPr>
              <w:spacing w:after="80"/>
            </w:pPr>
            <w:r>
              <w:rPr>
                <w:sz w:val="20"/>
              </w:rPr>
              <w:t>290,00 EUR</w:t>
            </w:r>
          </w:p>
        </w:tc>
      </w:tr>
      <w:tr>
        <w:tc>
          <w:tcPr>
            <w:tcW w:type="dxa" w:w="1860"/>
            <w:vAlign w:val="center"/>
          </w:tcPr>
          <w:p>
            <w:pPr>
              <w:spacing w:after="80"/>
            </w:pPr>
            <w:r>
              <w:rPr>
                <w:sz w:val="20"/>
              </w:rPr>
              <w:t>03/2025</w:t>
            </w:r>
          </w:p>
        </w:tc>
        <w:tc>
          <w:tcPr>
            <w:tcW w:type="dxa" w:w="1860"/>
            <w:vAlign w:val="center"/>
          </w:tcPr>
          <w:p>
            <w:pPr>
              <w:spacing w:after="80"/>
            </w:pPr>
            <w:r>
              <w:rPr>
                <w:sz w:val="20"/>
              </w:rPr>
              <w:t>625,00 EUR</w:t>
            </w:r>
          </w:p>
        </w:tc>
        <w:tc>
          <w:tcPr>
            <w:tcW w:type="dxa" w:w="1860"/>
            <w:vAlign w:val="center"/>
          </w:tcPr>
          <w:p>
            <w:pPr>
              <w:spacing w:after="80"/>
            </w:pPr>
            <w:r>
              <w:rPr>
                <w:sz w:val="20"/>
              </w:rPr>
              <w:t>580,00 EUR</w:t>
            </w:r>
          </w:p>
        </w:tc>
        <w:tc>
          <w:tcPr>
            <w:tcW w:type="dxa" w:w="1860"/>
            <w:vAlign w:val="center"/>
          </w:tcPr>
          <w:p>
            <w:pPr>
              <w:spacing w:after="80"/>
            </w:pPr>
            <w:r>
              <w:rPr>
                <w:sz w:val="20"/>
              </w:rPr>
              <w:t>0,00 EUR</w:t>
            </w:r>
          </w:p>
        </w:tc>
        <w:tc>
          <w:tcPr>
            <w:tcW w:type="dxa" w:w="1860"/>
            <w:vAlign w:val="center"/>
          </w:tcPr>
          <w:p>
            <w:pPr>
              <w:spacing w:after="80"/>
            </w:pPr>
            <w:r>
              <w:rPr>
                <w:sz w:val="20"/>
              </w:rPr>
              <w:t>335,00 EUR</w:t>
            </w:r>
          </w:p>
        </w:tc>
      </w:tr>
      <w:tr>
        <w:tc>
          <w:tcPr>
            <w:tcW w:type="dxa" w:w="1860"/>
            <w:vAlign w:val="center"/>
          </w:tcPr>
          <w:p>
            <w:pPr>
              <w:spacing w:after="80"/>
            </w:pPr>
            <w:r>
              <w:rPr>
                <w:sz w:val="20"/>
              </w:rPr>
              <w:t>04/2025</w:t>
            </w:r>
          </w:p>
        </w:tc>
        <w:tc>
          <w:tcPr>
            <w:tcW w:type="dxa" w:w="1860"/>
            <w:vAlign w:val="center"/>
          </w:tcPr>
          <w:p>
            <w:pPr>
              <w:spacing w:after="80"/>
            </w:pPr>
            <w:r>
              <w:rPr>
                <w:sz w:val="20"/>
              </w:rPr>
              <w:t>625,00 EUR</w:t>
            </w:r>
          </w:p>
        </w:tc>
        <w:tc>
          <w:tcPr>
            <w:tcW w:type="dxa" w:w="1860"/>
            <w:vAlign w:val="center"/>
          </w:tcPr>
          <w:p>
            <w:pPr>
              <w:spacing w:after="80"/>
            </w:pPr>
            <w:r>
              <w:rPr>
                <w:sz w:val="20"/>
              </w:rPr>
              <w:t>180,00 EUR</w:t>
            </w:r>
          </w:p>
        </w:tc>
        <w:tc>
          <w:tcPr>
            <w:tcW w:type="dxa" w:w="1860"/>
            <w:vAlign w:val="center"/>
          </w:tcPr>
          <w:p>
            <w:pPr>
              <w:spacing w:after="80"/>
            </w:pPr>
            <w:r>
              <w:rPr>
                <w:sz w:val="20"/>
              </w:rPr>
              <w:t>0,00 EUR</w:t>
            </w:r>
          </w:p>
        </w:tc>
        <w:tc>
          <w:tcPr>
            <w:tcW w:type="dxa" w:w="1860"/>
            <w:vAlign w:val="center"/>
          </w:tcPr>
          <w:p>
            <w:pPr>
              <w:spacing w:after="80"/>
            </w:pPr>
            <w:r>
              <w:rPr>
                <w:sz w:val="20"/>
              </w:rPr>
              <w:t>780,00 EUR</w:t>
            </w:r>
          </w:p>
        </w:tc>
      </w:tr>
      <w:tr>
        <w:tc>
          <w:tcPr>
            <w:tcW w:type="dxa" w:w="1860"/>
            <w:vAlign w:val="center"/>
          </w:tcPr>
          <w:p>
            <w:pPr>
              <w:spacing w:after="80"/>
            </w:pPr>
            <w:r>
              <w:rPr>
                <w:sz w:val="20"/>
              </w:rPr>
              <w:t>05/2025</w:t>
            </w:r>
          </w:p>
        </w:tc>
        <w:tc>
          <w:tcPr>
            <w:tcW w:type="dxa" w:w="1860"/>
            <w:vAlign w:val="center"/>
          </w:tcPr>
          <w:p>
            <w:pPr>
              <w:spacing w:after="80"/>
            </w:pPr>
            <w:r>
              <w:rPr>
                <w:sz w:val="20"/>
              </w:rPr>
              <w:t>625,00 EUR</w:t>
            </w:r>
          </w:p>
        </w:tc>
        <w:tc>
          <w:tcPr>
            <w:tcW w:type="dxa" w:w="1860"/>
            <w:vAlign w:val="center"/>
          </w:tcPr>
          <w:p>
            <w:pPr>
              <w:spacing w:after="80"/>
            </w:pPr>
            <w:r>
              <w:rPr>
                <w:sz w:val="20"/>
              </w:rPr>
              <w:t>180,00 EUR</w:t>
            </w:r>
          </w:p>
        </w:tc>
        <w:tc>
          <w:tcPr>
            <w:tcW w:type="dxa" w:w="1860"/>
            <w:vAlign w:val="center"/>
          </w:tcPr>
          <w:p>
            <w:pPr>
              <w:spacing w:after="80"/>
            </w:pPr>
            <w:r>
              <w:rPr>
                <w:sz w:val="20"/>
              </w:rPr>
              <w:t>0,00 EUR</w:t>
            </w:r>
          </w:p>
        </w:tc>
        <w:tc>
          <w:tcPr>
            <w:tcW w:type="dxa" w:w="1860"/>
            <w:vAlign w:val="center"/>
          </w:tcPr>
          <w:p>
            <w:pPr>
              <w:spacing w:after="80"/>
            </w:pPr>
            <w:r>
              <w:rPr>
                <w:sz w:val="20"/>
              </w:rPr>
              <w:t>1.225,00 EUR</w:t>
            </w:r>
          </w:p>
        </w:tc>
      </w:tr>
      <w:tr>
        <w:tc>
          <w:tcPr>
            <w:tcW w:type="dxa" w:w="1860"/>
            <w:vAlign w:val="center"/>
          </w:tcPr>
          <w:p>
            <w:pPr>
              <w:spacing w:after="80"/>
            </w:pPr>
            <w:r>
              <w:rPr>
                <w:sz w:val="20"/>
              </w:rPr>
              <w:t>06/2025</w:t>
            </w:r>
          </w:p>
        </w:tc>
        <w:tc>
          <w:tcPr>
            <w:tcW w:type="dxa" w:w="1860"/>
            <w:vAlign w:val="center"/>
          </w:tcPr>
          <w:p>
            <w:pPr>
              <w:spacing w:after="80"/>
            </w:pPr>
            <w:r>
              <w:rPr>
                <w:sz w:val="20"/>
              </w:rPr>
              <w:t>625,00 EUR</w:t>
            </w:r>
          </w:p>
        </w:tc>
        <w:tc>
          <w:tcPr>
            <w:tcW w:type="dxa" w:w="1860"/>
            <w:vAlign w:val="center"/>
          </w:tcPr>
          <w:p>
            <w:pPr>
              <w:spacing w:after="80"/>
            </w:pPr>
            <w:r>
              <w:rPr>
                <w:sz w:val="20"/>
              </w:rPr>
              <w:t>880,00 EUR</w:t>
            </w:r>
          </w:p>
        </w:tc>
        <w:tc>
          <w:tcPr>
            <w:tcW w:type="dxa" w:w="1860"/>
            <w:vAlign w:val="center"/>
          </w:tcPr>
          <w:p>
            <w:pPr>
              <w:spacing w:after="80"/>
            </w:pPr>
            <w:r>
              <w:rPr>
                <w:sz w:val="20"/>
              </w:rPr>
              <w:t>0,00 EUR</w:t>
            </w:r>
          </w:p>
        </w:tc>
        <w:tc>
          <w:tcPr>
            <w:tcW w:type="dxa" w:w="1860"/>
            <w:vAlign w:val="center"/>
          </w:tcPr>
          <w:p>
            <w:pPr>
              <w:spacing w:after="80"/>
            </w:pPr>
            <w:r>
              <w:rPr>
                <w:sz w:val="20"/>
              </w:rPr>
              <w:t>970,00 EUR</w:t>
            </w:r>
          </w:p>
        </w:tc>
      </w:tr>
      <w:tr>
        <w:tc>
          <w:tcPr>
            <w:tcW w:type="dxa" w:w="1860"/>
            <w:vAlign w:val="center"/>
          </w:tcPr>
          <w:p>
            <w:pPr>
              <w:spacing w:after="80"/>
            </w:pPr>
            <w:r>
              <w:rPr>
                <w:sz w:val="20"/>
              </w:rPr>
              <w:t>07/2025</w:t>
            </w:r>
          </w:p>
        </w:tc>
        <w:tc>
          <w:tcPr>
            <w:tcW w:type="dxa" w:w="1860"/>
            <w:vAlign w:val="center"/>
          </w:tcPr>
          <w:p>
            <w:pPr>
              <w:spacing w:after="80"/>
            </w:pPr>
            <w:r>
              <w:rPr>
                <w:sz w:val="20"/>
              </w:rPr>
              <w:t>625,00 EUR</w:t>
            </w:r>
          </w:p>
        </w:tc>
        <w:tc>
          <w:tcPr>
            <w:tcW w:type="dxa" w:w="1860"/>
            <w:vAlign w:val="center"/>
          </w:tcPr>
          <w:p>
            <w:pPr>
              <w:spacing w:after="80"/>
            </w:pPr>
            <w:r>
              <w:rPr>
                <w:sz w:val="20"/>
              </w:rPr>
              <w:t>180,00 EUR</w:t>
            </w:r>
          </w:p>
        </w:tc>
        <w:tc>
          <w:tcPr>
            <w:tcW w:type="dxa" w:w="1860"/>
            <w:vAlign w:val="center"/>
          </w:tcPr>
          <w:p>
            <w:pPr>
              <w:spacing w:after="80"/>
            </w:pPr>
            <w:r>
              <w:rPr>
                <w:sz w:val="20"/>
              </w:rPr>
              <w:t>0,00 EUR</w:t>
            </w:r>
          </w:p>
        </w:tc>
        <w:tc>
          <w:tcPr>
            <w:tcW w:type="dxa" w:w="1860"/>
            <w:vAlign w:val="center"/>
          </w:tcPr>
          <w:p>
            <w:pPr>
              <w:spacing w:after="80"/>
            </w:pPr>
            <w:r>
              <w:rPr>
                <w:sz w:val="20"/>
              </w:rPr>
              <w:t>1.415,00 EUR</w:t>
            </w:r>
          </w:p>
        </w:tc>
      </w:tr>
      <w:tr>
        <w:tc>
          <w:tcPr>
            <w:tcW w:type="dxa" w:w="1860"/>
            <w:vAlign w:val="center"/>
          </w:tcPr>
          <w:p>
            <w:pPr>
              <w:spacing w:after="80"/>
            </w:pPr>
            <w:r>
              <w:rPr>
                <w:sz w:val="20"/>
              </w:rPr>
              <w:t>08/2025</w:t>
            </w:r>
          </w:p>
        </w:tc>
        <w:tc>
          <w:tcPr>
            <w:tcW w:type="dxa" w:w="1860"/>
            <w:vAlign w:val="center"/>
          </w:tcPr>
          <w:p>
            <w:pPr>
              <w:spacing w:after="80"/>
            </w:pPr>
            <w:r>
              <w:rPr>
                <w:sz w:val="20"/>
              </w:rPr>
              <w:t>625,00 EUR</w:t>
            </w:r>
          </w:p>
        </w:tc>
        <w:tc>
          <w:tcPr>
            <w:tcW w:type="dxa" w:w="1860"/>
            <w:vAlign w:val="center"/>
          </w:tcPr>
          <w:p>
            <w:pPr>
              <w:spacing w:after="80"/>
            </w:pPr>
            <w:r>
              <w:rPr>
                <w:sz w:val="20"/>
              </w:rPr>
              <w:t>180,00 EUR</w:t>
            </w:r>
          </w:p>
        </w:tc>
        <w:tc>
          <w:tcPr>
            <w:tcW w:type="dxa" w:w="1860"/>
            <w:vAlign w:val="center"/>
          </w:tcPr>
          <w:p>
            <w:pPr>
              <w:spacing w:after="80"/>
            </w:pPr>
            <w:r>
              <w:rPr>
                <w:sz w:val="20"/>
              </w:rPr>
              <w:t>0,00 EUR</w:t>
            </w:r>
          </w:p>
        </w:tc>
        <w:tc>
          <w:tcPr>
            <w:tcW w:type="dxa" w:w="1860"/>
            <w:vAlign w:val="center"/>
          </w:tcPr>
          <w:p>
            <w:pPr>
              <w:spacing w:after="80"/>
            </w:pPr>
            <w:r>
              <w:rPr>
                <w:sz w:val="20"/>
              </w:rPr>
              <w:t>1.860,00 EUR</w:t>
            </w:r>
          </w:p>
        </w:tc>
      </w:tr>
      <w:tr>
        <w:tc>
          <w:tcPr>
            <w:tcW w:type="dxa" w:w="1860"/>
            <w:vAlign w:val="center"/>
          </w:tcPr>
          <w:p>
            <w:pPr>
              <w:spacing w:after="80"/>
            </w:pPr>
            <w:r>
              <w:rPr>
                <w:sz w:val="20"/>
              </w:rPr>
              <w:t>09/2025</w:t>
            </w:r>
          </w:p>
        </w:tc>
        <w:tc>
          <w:tcPr>
            <w:tcW w:type="dxa" w:w="1860"/>
            <w:vAlign w:val="center"/>
          </w:tcPr>
          <w:p>
            <w:pPr>
              <w:spacing w:after="80"/>
            </w:pPr>
            <w:r>
              <w:rPr>
                <w:sz w:val="20"/>
              </w:rPr>
              <w:t>625,00 EUR</w:t>
            </w:r>
          </w:p>
        </w:tc>
        <w:tc>
          <w:tcPr>
            <w:tcW w:type="dxa" w:w="1860"/>
            <w:vAlign w:val="center"/>
          </w:tcPr>
          <w:p>
            <w:pPr>
              <w:spacing w:after="80"/>
            </w:pPr>
            <w:r>
              <w:rPr>
                <w:sz w:val="20"/>
              </w:rPr>
              <w:t>580,00 EUR</w:t>
            </w:r>
          </w:p>
        </w:tc>
        <w:tc>
          <w:tcPr>
            <w:tcW w:type="dxa" w:w="1860"/>
            <w:vAlign w:val="center"/>
          </w:tcPr>
          <w:p>
            <w:pPr>
              <w:spacing w:after="80"/>
            </w:pPr>
            <w:r>
              <w:rPr>
                <w:sz w:val="20"/>
              </w:rPr>
              <w:t>0,00 EUR</w:t>
            </w:r>
          </w:p>
        </w:tc>
        <w:tc>
          <w:tcPr>
            <w:tcW w:type="dxa" w:w="1860"/>
            <w:vAlign w:val="center"/>
          </w:tcPr>
          <w:p>
            <w:pPr>
              <w:spacing w:after="80"/>
            </w:pPr>
            <w:r>
              <w:rPr>
                <w:sz w:val="20"/>
              </w:rPr>
              <w:t>1.905,00 EUR</w:t>
            </w:r>
          </w:p>
        </w:tc>
      </w:tr>
      <w:tr>
        <w:tc>
          <w:tcPr>
            <w:tcW w:type="dxa" w:w="1860"/>
            <w:vAlign w:val="center"/>
          </w:tcPr>
          <w:p>
            <w:pPr>
              <w:spacing w:after="80"/>
            </w:pPr>
            <w:r>
              <w:rPr>
                <w:sz w:val="20"/>
              </w:rPr>
              <w:t>10/2025</w:t>
            </w:r>
          </w:p>
        </w:tc>
        <w:tc>
          <w:tcPr>
            <w:tcW w:type="dxa" w:w="1860"/>
            <w:vAlign w:val="center"/>
          </w:tcPr>
          <w:p>
            <w:pPr>
              <w:spacing w:after="80"/>
            </w:pPr>
            <w:r>
              <w:rPr>
                <w:sz w:val="20"/>
              </w:rPr>
              <w:t>625,00 EUR</w:t>
            </w:r>
          </w:p>
        </w:tc>
        <w:tc>
          <w:tcPr>
            <w:tcW w:type="dxa" w:w="1860"/>
            <w:vAlign w:val="center"/>
          </w:tcPr>
          <w:p>
            <w:pPr>
              <w:spacing w:after="80"/>
            </w:pPr>
            <w:r>
              <w:rPr>
                <w:sz w:val="20"/>
              </w:rPr>
              <w:t>180,00 EUR</w:t>
            </w:r>
          </w:p>
        </w:tc>
        <w:tc>
          <w:tcPr>
            <w:tcW w:type="dxa" w:w="1860"/>
            <w:vAlign w:val="center"/>
          </w:tcPr>
          <w:p>
            <w:pPr>
              <w:spacing w:after="80"/>
            </w:pPr>
            <w:r>
              <w:rPr>
                <w:sz w:val="20"/>
              </w:rPr>
              <w:t>0,00 EUR</w:t>
            </w:r>
          </w:p>
        </w:tc>
        <w:tc>
          <w:tcPr>
            <w:tcW w:type="dxa" w:w="1860"/>
            <w:vAlign w:val="center"/>
          </w:tcPr>
          <w:p>
            <w:pPr>
              <w:spacing w:after="80"/>
            </w:pPr>
            <w:r>
              <w:rPr>
                <w:sz w:val="20"/>
              </w:rPr>
              <w:t>2.350,00 EUR</w:t>
            </w:r>
          </w:p>
        </w:tc>
      </w:tr>
      <w:tr>
        <w:tc>
          <w:tcPr>
            <w:tcW w:type="dxa" w:w="1860"/>
            <w:vAlign w:val="center"/>
          </w:tcPr>
          <w:p>
            <w:pPr>
              <w:spacing w:after="80"/>
            </w:pPr>
            <w:r>
              <w:rPr>
                <w:sz w:val="20"/>
              </w:rPr>
              <w:t>11/2025</w:t>
            </w:r>
          </w:p>
        </w:tc>
        <w:tc>
          <w:tcPr>
            <w:tcW w:type="dxa" w:w="1860"/>
            <w:vAlign w:val="center"/>
          </w:tcPr>
          <w:p>
            <w:pPr>
              <w:spacing w:after="80"/>
            </w:pPr>
            <w:r>
              <w:rPr>
                <w:sz w:val="20"/>
              </w:rPr>
              <w:t>625,00 EUR</w:t>
            </w:r>
          </w:p>
        </w:tc>
        <w:tc>
          <w:tcPr>
            <w:tcW w:type="dxa" w:w="1860"/>
            <w:vAlign w:val="center"/>
          </w:tcPr>
          <w:p>
            <w:pPr>
              <w:spacing w:after="80"/>
            </w:pPr>
            <w:r>
              <w:rPr>
                <w:sz w:val="20"/>
              </w:rPr>
              <w:t>180,00 EUR</w:t>
            </w:r>
          </w:p>
        </w:tc>
        <w:tc>
          <w:tcPr>
            <w:tcW w:type="dxa" w:w="1860"/>
            <w:vAlign w:val="center"/>
          </w:tcPr>
          <w:p>
            <w:pPr>
              <w:spacing w:after="80"/>
            </w:pPr>
            <w:r>
              <w:rPr>
                <w:sz w:val="20"/>
              </w:rPr>
              <w:t>0,00 EUR</w:t>
            </w:r>
          </w:p>
        </w:tc>
        <w:tc>
          <w:tcPr>
            <w:tcW w:type="dxa" w:w="1860"/>
            <w:vAlign w:val="center"/>
          </w:tcPr>
          <w:p>
            <w:pPr>
              <w:spacing w:after="80"/>
            </w:pPr>
            <w:r>
              <w:rPr>
                <w:sz w:val="20"/>
              </w:rPr>
              <w:t>2.795,00 EUR</w:t>
            </w:r>
          </w:p>
        </w:tc>
      </w:tr>
      <w:tr>
        <w:tc>
          <w:tcPr>
            <w:tcW w:type="dxa" w:w="1860"/>
            <w:vAlign w:val="center"/>
          </w:tcPr>
          <w:p>
            <w:pPr>
              <w:spacing w:after="80"/>
            </w:pPr>
            <w:r>
              <w:rPr>
                <w:sz w:val="20"/>
              </w:rPr>
              <w:t>12/2025</w:t>
            </w:r>
          </w:p>
        </w:tc>
        <w:tc>
          <w:tcPr>
            <w:tcW w:type="dxa" w:w="1860"/>
            <w:vAlign w:val="center"/>
          </w:tcPr>
          <w:p>
            <w:pPr>
              <w:spacing w:after="80"/>
            </w:pPr>
            <w:r>
              <w:rPr>
                <w:sz w:val="20"/>
              </w:rPr>
              <w:t>625,00 EUR</w:t>
            </w:r>
          </w:p>
        </w:tc>
        <w:tc>
          <w:tcPr>
            <w:tcW w:type="dxa" w:w="1860"/>
            <w:vAlign w:val="center"/>
          </w:tcPr>
          <w:p>
            <w:pPr>
              <w:spacing w:after="80"/>
            </w:pPr>
            <w:r>
              <w:rPr>
                <w:sz w:val="20"/>
              </w:rPr>
              <w:t>580,00 EUR</w:t>
            </w:r>
          </w:p>
        </w:tc>
        <w:tc>
          <w:tcPr>
            <w:tcW w:type="dxa" w:w="1860"/>
            <w:vAlign w:val="center"/>
          </w:tcPr>
          <w:p>
            <w:pPr>
              <w:spacing w:after="80"/>
            </w:pPr>
            <w:r>
              <w:rPr>
                <w:sz w:val="20"/>
              </w:rPr>
              <w:t>1.500,00 EUR</w:t>
            </w:r>
          </w:p>
        </w:tc>
        <w:tc>
          <w:tcPr>
            <w:tcW w:type="dxa" w:w="1860"/>
            <w:vAlign w:val="center"/>
          </w:tcPr>
          <w:p>
            <w:pPr>
              <w:spacing w:after="80"/>
            </w:pPr>
            <w:r>
              <w:rPr>
                <w:sz w:val="20"/>
              </w:rPr>
              <w:t>1.340,00 EUR</w:t>
            </w:r>
          </w:p>
        </w:tc>
      </w:tr>
    </w:tbl>
    <w:sectPr w:rsidR="00FC693F" w:rsidRPr="0006063C" w:rsidSect="00034616">
      <w:footerReference w:type="default" r:id="rId9"/>
      <w:pgSz w:w="11906" w:h="16838"/>
      <w:pgMar w:top="1191" w:right="1304" w:bottom="1191"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40" w:line="269" w:lineRule="auto"/>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480" w:after="140" w:line="269" w:lineRule="auto"/>
      <w:outlineLvl w:val="0"/>
    </w:pPr>
    <w:rPr>
      <w:rFonts w:ascii="Times New Roman" w:hAnsi="Times New Roman"/>
      <w:b/>
      <w:bCs/>
      <w:color w:val="000000"/>
      <w:sz w:val="26"/>
      <w:szCs w:val="28"/>
    </w:rPr>
  </w:style>
  <w:style w:type="paragraph" w:styleId="Heading2">
    <w:name w:val="heading 2"/>
    <w:basedOn w:val="Normal"/>
    <w:next w:val="Normal"/>
    <w:link w:val="Heading2Char"/>
    <w:uiPriority w:val="9"/>
    <w:unhideWhenUsed/>
    <w:qFormat/>
    <w:rsid w:val="00FC693F"/>
    <w:pPr>
      <w:keepNext/>
      <w:keepLines/>
      <w:widowControl/>
      <w:spacing w:before="200" w:after="140" w:line="269" w:lineRule="auto"/>
      <w:outlineLvl w:val="1"/>
    </w:pPr>
    <w:rPr>
      <w:rFonts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imes New Roman" w:hAnsi="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imes New Roman" w:hAnsi="Times New Roman"/>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imes New Roman" w:hAnsi="Times New Roman"/>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imes New Roman" w:hAnsi="Times New Roman"/>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imes New Roman" w:hAnsi="Times New Roman"/>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imes New Roman" w:hAnsi="Times New Roman"/>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imes New Roman" w:hAnsi="Times New Roman"/>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imes New Roman" w:hAnsi="Times New Roman"/>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imes New Roman" w:hAnsi="Times New Roman"/>
      <w:b/>
      <w:bCs/>
      <w:color w:val="4F81BD" w:themeColor="accent1"/>
      <w:sz w:val="26"/>
      <w:szCs w:val="26"/>
    </w:rPr>
  </w:style>
  <w:style w:type="character" w:customStyle="1" w:styleId="Heading3Char">
    <w:name w:val="Heading 3 Char"/>
    <w:basedOn w:val="DefaultParagraphFont"/>
    <w:link w:val="Heading3"/>
    <w:uiPriority w:val="9"/>
    <w:rsid w:val="00FC693F"/>
    <w:rPr>
      <w:rFonts w:ascii="Times New Roman" w:hAnsi="Times New Roman"/>
      <w:b/>
      <w:bCs/>
      <w:color w:val="4F81BD" w:themeColor="accent1"/>
    </w:rPr>
  </w:style>
  <w:style w:type="paragraph" w:styleId="Title">
    <w:name w:val="Title"/>
    <w:basedOn w:val="Normal"/>
    <w:next w:val="Normal"/>
    <w:link w:val="TitleChar"/>
    <w:uiPriority w:val="10"/>
    <w:qFormat/>
    <w:rsid w:val="00FC693F"/>
    <w:pPr>
      <w:keepNext/>
      <w:widowControl/>
      <w:spacing w:after="140" w:line="269" w:lineRule="auto"/>
      <w:contextualSpacing/>
    </w:pPr>
    <w:rPr>
      <w:rFonts w:ascii="Times New Roman" w:hAnsi="Times New Roman"/>
      <w:color w:val="000000"/>
      <w:spacing w:val="5"/>
      <w:kern w:val="28"/>
      <w:sz w:val="34"/>
      <w:szCs w:val="52"/>
    </w:rPr>
  </w:style>
  <w:style w:type="character" w:customStyle="1" w:styleId="TitleChar">
    <w:name w:val="Title Char"/>
    <w:basedOn w:val="DefaultParagraphFont"/>
    <w:link w:val="Title"/>
    <w:uiPriority w:val="10"/>
    <w:rsid w:val="00FC693F"/>
    <w:rPr>
      <w:rFonts w:ascii="Times New Roman" w:hAnsi="Times New Roman"/>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imes New Roman" w:hAnsi="Times New Roman"/>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imes New Roman" w:hAnsi="Times New Roman"/>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sz w:val="20"/>
      <w:szCs w:val="20"/>
    </w:rPr>
  </w:style>
  <w:style w:type="character" w:customStyle="1" w:styleId="MacroTextChar">
    <w:name w:val="Macro Text Char"/>
    <w:basedOn w:val="DefaultParagraphFont"/>
    <w:link w:val="MacroText"/>
    <w:uiPriority w:val="99"/>
    <w:rsid w:val="0029639D"/>
    <w:rPr>
      <w:rFonts w:ascii="Times New Roman" w:hAnsi="Times New Roman"/>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imes New Roman" w:hAnsi="Times New Roman"/>
      <w:b/>
      <w:bCs/>
      <w:i/>
      <w:iCs/>
      <w:color w:val="4F81BD" w:themeColor="accent1"/>
    </w:rPr>
  </w:style>
  <w:style w:type="character" w:customStyle="1" w:styleId="Heading5Char">
    <w:name w:val="Heading 5 Char"/>
    <w:basedOn w:val="DefaultParagraphFont"/>
    <w:link w:val="Heading5"/>
    <w:uiPriority w:val="9"/>
    <w:semiHidden/>
    <w:rsid w:val="00FC693F"/>
    <w:rPr>
      <w:rFonts w:ascii="Times New Roman" w:hAnsi="Times New Roman"/>
      <w:color w:val="243F60" w:themeColor="accent1" w:themeShade="7F"/>
    </w:rPr>
  </w:style>
  <w:style w:type="character" w:customStyle="1" w:styleId="Heading6Char">
    <w:name w:val="Heading 6 Char"/>
    <w:basedOn w:val="DefaultParagraphFont"/>
    <w:link w:val="Heading6"/>
    <w:uiPriority w:val="9"/>
    <w:semiHidden/>
    <w:rsid w:val="00FC693F"/>
    <w:rPr>
      <w:rFonts w:ascii="Times New Roman" w:hAnsi="Times New Roman"/>
      <w:i/>
      <w:iCs/>
      <w:color w:val="243F60" w:themeColor="accent1" w:themeShade="7F"/>
    </w:rPr>
  </w:style>
  <w:style w:type="character" w:customStyle="1" w:styleId="Heading7Char">
    <w:name w:val="Heading 7 Char"/>
    <w:basedOn w:val="DefaultParagraphFont"/>
    <w:link w:val="Heading7"/>
    <w:uiPriority w:val="9"/>
    <w:semiHidden/>
    <w:rsid w:val="00FC693F"/>
    <w:rPr>
      <w:rFonts w:ascii="Times New Roman" w:hAnsi="Times New Roman"/>
      <w:i/>
      <w:iCs/>
      <w:color w:val="404040" w:themeColor="text1" w:themeTint="BF"/>
    </w:rPr>
  </w:style>
  <w:style w:type="character" w:customStyle="1" w:styleId="Heading8Char">
    <w:name w:val="Heading 8 Char"/>
    <w:basedOn w:val="DefaultParagraphFont"/>
    <w:link w:val="Heading8"/>
    <w:uiPriority w:val="9"/>
    <w:semiHidden/>
    <w:rsid w:val="00FC693F"/>
    <w:rPr>
      <w:rFonts w:ascii="Times New Roman" w:hAnsi="Times New Roman"/>
      <w:color w:val="4F81BD" w:themeColor="accent1"/>
      <w:sz w:val="20"/>
      <w:szCs w:val="20"/>
    </w:rPr>
  </w:style>
  <w:style w:type="character" w:customStyle="1" w:styleId="Heading9Char">
    <w:name w:val="Heading 9 Char"/>
    <w:basedOn w:val="DefaultParagraphFont"/>
    <w:link w:val="Heading9"/>
    <w:uiPriority w:val="9"/>
    <w:semiHidden/>
    <w:rsid w:val="00FC693F"/>
    <w:rPr>
      <w:rFonts w:ascii="Times New Roman" w:hAnsi="Times New Roman"/>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imes New Roman" w:hAnsi="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imes New Roman" w:hAnsi="Times New Roman"/>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imes New Roman" w:hAnsi="Times New Roman"/>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imes New Roman" w:hAnsi="Times New Roman"/>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imes New Roman" w:hAnsi="Times New Roman"/>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imes New Roman" w:hAnsi="Times New Roman"/>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imes New Roman" w:hAnsi="Times New Roman"/>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Betriebskonto Kleinhausen Jahresübersicht 2025</dc:title>
  <dc:subject/>
  <dc:creator>Bürgerbank Innerstetal
Kundenservice Gemeinschaftskonten
bank@innerstetal.example</dc:creator>
  <cp:keywords/>
  <dc:description>generated by python-docx</dc:description>
  <cp:lastModifiedBy/>
  <cp:revision>1</cp:revision>
  <dcterms:created xsi:type="dcterms:W3CDTF">2026-10-01T09:00:00Z</dcterms:created>
  <dcterms:modified xsi:type="dcterms:W3CDTF">2026-10-01T09:00:00Z</dcterms:modified>
  <cp:category/>
</cp:coreProperties>
</file>