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Hausverwaltung Klein und Klar</w:t>
        <w:br/>
        <w:t>Inhaberin Lotte Klar</w:t>
        <w:br/>
        <w:t>Marktstraße 8, 31134 Hildesheim</w:t>
        <w:br/>
        <w:t>lotte@kleinundklar.example</w:t>
      </w:r>
    </w:p>
    <w:p>
      <w:r>
        <w:t>Gemeinschaft der Wohnungseigentümer Kleinhausen</w:t>
        <w:br/>
        <w:t>Lindenweg 5, 31139 Hildesheim</w:t>
      </w:r>
    </w:p>
    <w:p>
      <w:pPr>
        <w:pStyle w:val="Title"/>
      </w:pPr>
      <w:r>
        <w:t>Jahresabrechnung Kleinhausen 2025 Entwurf</w:t>
      </w:r>
    </w:p>
    <w:p>
      <w:r>
        <w:t>15.09.2026</w:t>
      </w:r>
    </w:p>
    <w:p>
      <w:r>
        <w:t>1. Zahlen der Gemeinschaft</w:t>
      </w:r>
    </w:p>
    <w:p>
      <w:r>
        <w:t>Das Betriebskonto begann mit 1.000,00 EUR. Es gingen Hausgeldzahlungen von 7.500,00 EUR ein. Nach den Bankunterlagen wurden 5.660,00 EUR für laufende Kosten und die kleine Türreparatur bezahlt. Weitere 1.500,00 EUR wurden auf das Rücklagenkonto übertragen. Der Schlussbestand des Betriebskontos beträgt 1.340,00 EUR. Das Rücklagenkonto stieg von 5.000,00 EUR auf 6.500,00 EUR.</w:t>
      </w:r>
    </w:p>
    <w:p>
      <w:r>
        <w:t>2. Verteilung laut Arbeitsdatei</w:t>
      </w:r>
    </w:p>
    <w:p>
      <w:r>
        <w:t>Die nachstehende Kostenliste wurde aus der Arbeitsdatei in diese erste Fassung übernommen. Alle Positionen werden nach den fünf gleichen Miteigentumsanteilen verteilt. Die Liste ergibt insgesamt 5.680,00 EUR und damit 1.136,00 EUR je Wohnung. Auf die laufenden Kosten wurden je Wohnung Vorschüsse von 1.200,00 EUR beschlossen und vollständig gezahlt. Daraus weist diese Fassung ein Guthaben von jeweils 64,00 EUR aus.</w:t>
      </w:r>
    </w:p>
    <w:p>
      <w:r>
        <w:t>3. Rücklage und weiterer Ablauf</w:t>
      </w:r>
    </w:p>
    <w:p>
      <w:r>
        <w:t>Jeder Eigentümer hat zusätzlich 300,00 EUR als Rücklagenbeitrag gezahlt. Diese Beiträge wurden vollständig auf das Rücklagenkonto übertragen. Sie werden nicht noch einmal als verbrauchte Kosten verteilt. Die erste Abrechnungsfassung ist noch nicht beschlossen. Bitte reichen Sie Rückfragen vor der geplanten Versammlung am 20. November 2026 ein. Die Einladung folgt gesondert. Eine Auszahlung wird erst nach der erforderlichen Beschlussfassung veranlasst.</w:t>
      </w:r>
    </w:p>
    <w:p>
      <w:r>
        <w:t>Freundliche Grüße</w:t>
        <w:br/>
        <w:t>Lotte Klar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9"/>
        <w:gridCol w:w="3099"/>
        <w:gridCol w:w="3099"/>
      </w:tblGrid>
      <w:tr>
        <w:trPr>
          <w:tblHeader/>
        </w:trPr>
        <w:tc>
          <w:tcPr>
            <w:tcW w:type="dxa" w:w="3099"/>
            <w:vAlign w:val="center"/>
            <w:shd w:fill="E8EDF1"/>
          </w:tcPr>
          <w:p>
            <w:pPr>
              <w:spacing w:after="80"/>
            </w:pPr>
            <w:r>
              <w:rPr>
                <w:b/>
                <w:sz w:val="20"/>
              </w:rPr>
              <w:t>Kostenart</w:t>
            </w:r>
          </w:p>
        </w:tc>
        <w:tc>
          <w:tcPr>
            <w:tcW w:type="dxa" w:w="3099"/>
            <w:vAlign w:val="center"/>
            <w:shd w:fill="E8EDF1"/>
          </w:tcPr>
          <w:p>
            <w:pPr>
              <w:spacing w:after="80"/>
            </w:pPr>
            <w:r>
              <w:rPr>
                <w:b/>
                <w:sz w:val="20"/>
              </w:rPr>
              <w:t>Gesamtbetrag</w:t>
            </w:r>
          </w:p>
        </w:tc>
        <w:tc>
          <w:tcPr>
            <w:tcW w:type="dxa" w:w="3099"/>
            <w:vAlign w:val="center"/>
            <w:shd w:fill="E8EDF1"/>
          </w:tcPr>
          <w:p>
            <w:pPr>
              <w:spacing w:after="80"/>
            </w:pPr>
            <w:r>
              <w:rPr>
                <w:b/>
                <w:sz w:val="20"/>
              </w:rPr>
              <w:t>Belegnummer</w:t>
            </w:r>
          </w:p>
        </w:tc>
      </w:tr>
      <w:tr>
        <w:tc>
          <w:tcPr>
            <w:tcW w:type="dxa" w:w="3099"/>
            <w:vAlign w:val="center"/>
          </w:tcPr>
          <w:p>
            <w:pPr>
              <w:spacing w:after="80"/>
            </w:pPr>
            <w:r>
              <w:rPr>
                <w:sz w:val="20"/>
              </w:rPr>
              <w:t>Wasser und Abwasser</w:t>
            </w:r>
          </w:p>
        </w:tc>
        <w:tc>
          <w:tcPr>
            <w:tcW w:type="dxa" w:w="3099"/>
            <w:vAlign w:val="center"/>
          </w:tcPr>
          <w:p>
            <w:pPr>
              <w:spacing w:after="80"/>
            </w:pPr>
            <w:r>
              <w:rPr>
                <w:sz w:val="20"/>
              </w:rPr>
              <w:t>1.600,00 EUR</w:t>
            </w:r>
          </w:p>
        </w:tc>
        <w:tc>
          <w:tcPr>
            <w:tcW w:type="dxa" w:w="3099"/>
            <w:vAlign w:val="center"/>
          </w:tcPr>
          <w:p>
            <w:pPr>
              <w:spacing w:after="80"/>
            </w:pPr>
            <w:r>
              <w:rPr>
                <w:sz w:val="20"/>
              </w:rPr>
              <w:t>WA-2025-05</w:t>
            </w:r>
          </w:p>
        </w:tc>
      </w:tr>
      <w:tr>
        <w:tc>
          <w:tcPr>
            <w:tcW w:type="dxa" w:w="3099"/>
            <w:vAlign w:val="center"/>
          </w:tcPr>
          <w:p>
            <w:pPr>
              <w:spacing w:after="80"/>
            </w:pPr>
            <w:r>
              <w:rPr>
                <w:sz w:val="20"/>
              </w:rPr>
              <w:t>Müllabfuhr</w:t>
            </w:r>
          </w:p>
        </w:tc>
        <w:tc>
          <w:tcPr>
            <w:tcW w:type="dxa" w:w="3099"/>
            <w:vAlign w:val="center"/>
          </w:tcPr>
          <w:p>
            <w:pPr>
              <w:spacing w:after="80"/>
            </w:pPr>
            <w:r>
              <w:rPr>
                <w:sz w:val="20"/>
              </w:rPr>
              <w:t>600,00 EUR</w:t>
            </w:r>
          </w:p>
        </w:tc>
        <w:tc>
          <w:tcPr>
            <w:tcW w:type="dxa" w:w="3099"/>
            <w:vAlign w:val="center"/>
          </w:tcPr>
          <w:p>
            <w:pPr>
              <w:spacing w:after="80"/>
            </w:pPr>
            <w:r>
              <w:rPr>
                <w:sz w:val="20"/>
              </w:rPr>
              <w:t>MU-2025-05</w:t>
            </w:r>
          </w:p>
        </w:tc>
      </w:tr>
      <w:tr>
        <w:tc>
          <w:tcPr>
            <w:tcW w:type="dxa" w:w="3099"/>
            <w:vAlign w:val="center"/>
          </w:tcPr>
          <w:p>
            <w:pPr>
              <w:spacing w:after="80"/>
            </w:pPr>
            <w:r>
              <w:rPr>
                <w:sz w:val="20"/>
              </w:rPr>
              <w:t>Gebäudeversicherung</w:t>
            </w:r>
          </w:p>
        </w:tc>
        <w:tc>
          <w:tcPr>
            <w:tcW w:type="dxa" w:w="3099"/>
            <w:vAlign w:val="center"/>
          </w:tcPr>
          <w:p>
            <w:pPr>
              <w:spacing w:after="80"/>
            </w:pPr>
            <w:r>
              <w:rPr>
                <w:sz w:val="20"/>
              </w:rPr>
              <w:t>1.000,00 EUR</w:t>
            </w:r>
          </w:p>
        </w:tc>
        <w:tc>
          <w:tcPr>
            <w:tcW w:type="dxa" w:w="3099"/>
            <w:vAlign w:val="center"/>
          </w:tcPr>
          <w:p>
            <w:pPr>
              <w:spacing w:after="80"/>
            </w:pPr>
            <w:r>
              <w:rPr>
                <w:sz w:val="20"/>
              </w:rPr>
              <w:t>GV-2025-05</w:t>
            </w:r>
          </w:p>
        </w:tc>
      </w:tr>
      <w:tr>
        <w:tc>
          <w:tcPr>
            <w:tcW w:type="dxa" w:w="3099"/>
            <w:vAlign w:val="center"/>
          </w:tcPr>
          <w:p>
            <w:pPr>
              <w:spacing w:after="80"/>
            </w:pPr>
            <w:r>
              <w:rPr>
                <w:sz w:val="20"/>
              </w:rPr>
              <w:t>Allgemeinstrom</w:t>
            </w:r>
          </w:p>
        </w:tc>
        <w:tc>
          <w:tcPr>
            <w:tcW w:type="dxa" w:w="3099"/>
            <w:vAlign w:val="center"/>
          </w:tcPr>
          <w:p>
            <w:pPr>
              <w:spacing w:after="80"/>
            </w:pPr>
            <w:r>
              <w:rPr>
                <w:sz w:val="20"/>
              </w:rPr>
              <w:t>260,00 EUR</w:t>
            </w:r>
          </w:p>
        </w:tc>
        <w:tc>
          <w:tcPr>
            <w:tcW w:type="dxa" w:w="3099"/>
            <w:vAlign w:val="center"/>
          </w:tcPr>
          <w:p>
            <w:pPr>
              <w:spacing w:after="80"/>
            </w:pPr>
            <w:r>
              <w:rPr>
                <w:sz w:val="20"/>
              </w:rPr>
              <w:t>ST-2025-05</w:t>
            </w:r>
          </w:p>
        </w:tc>
      </w:tr>
      <w:tr>
        <w:tc>
          <w:tcPr>
            <w:tcW w:type="dxa" w:w="3099"/>
            <w:vAlign w:val="center"/>
          </w:tcPr>
          <w:p>
            <w:pPr>
              <w:spacing w:after="80"/>
            </w:pPr>
            <w:r>
              <w:rPr>
                <w:sz w:val="20"/>
              </w:rPr>
              <w:t>Treppenhausreinigung</w:t>
            </w:r>
          </w:p>
        </w:tc>
        <w:tc>
          <w:tcPr>
            <w:tcW w:type="dxa" w:w="3099"/>
            <w:vAlign w:val="center"/>
          </w:tcPr>
          <w:p>
            <w:pPr>
              <w:spacing w:after="80"/>
            </w:pPr>
            <w:r>
              <w:rPr>
                <w:sz w:val="20"/>
              </w:rPr>
              <w:t>960,00 EUR</w:t>
            </w:r>
          </w:p>
        </w:tc>
        <w:tc>
          <w:tcPr>
            <w:tcW w:type="dxa" w:w="3099"/>
            <w:vAlign w:val="center"/>
          </w:tcPr>
          <w:p>
            <w:pPr>
              <w:spacing w:after="80"/>
            </w:pPr>
            <w:r>
              <w:rPr>
                <w:sz w:val="20"/>
              </w:rPr>
              <w:t>R-2025-71</w:t>
            </w:r>
          </w:p>
        </w:tc>
      </w:tr>
      <w:tr>
        <w:tc>
          <w:tcPr>
            <w:tcW w:type="dxa" w:w="3099"/>
            <w:vAlign w:val="center"/>
          </w:tcPr>
          <w:p>
            <w:pPr>
              <w:spacing w:after="80"/>
            </w:pPr>
            <w:r>
              <w:rPr>
                <w:sz w:val="20"/>
              </w:rPr>
              <w:t>Kleinreparatur</w:t>
            </w:r>
          </w:p>
        </w:tc>
        <w:tc>
          <w:tcPr>
            <w:tcW w:type="dxa" w:w="3099"/>
            <w:vAlign w:val="center"/>
          </w:tcPr>
          <w:p>
            <w:pPr>
              <w:spacing w:after="80"/>
            </w:pPr>
            <w:r>
              <w:rPr>
                <w:sz w:val="20"/>
              </w:rPr>
              <w:t>300,00 EUR</w:t>
            </w:r>
          </w:p>
        </w:tc>
        <w:tc>
          <w:tcPr>
            <w:tcW w:type="dxa" w:w="3099"/>
            <w:vAlign w:val="center"/>
          </w:tcPr>
          <w:p>
            <w:pPr>
              <w:spacing w:after="80"/>
            </w:pPr>
            <w:r>
              <w:rPr>
                <w:sz w:val="20"/>
              </w:rPr>
              <w:t>HR-2025-48</w:t>
            </w:r>
          </w:p>
        </w:tc>
      </w:tr>
      <w:tr>
        <w:tc>
          <w:tcPr>
            <w:tcW w:type="dxa" w:w="3099"/>
            <w:vAlign w:val="center"/>
          </w:tcPr>
          <w:p>
            <w:pPr>
              <w:spacing w:after="80"/>
            </w:pPr>
            <w:r>
              <w:rPr>
                <w:sz w:val="20"/>
              </w:rPr>
              <w:t>Verwaltung</w:t>
            </w:r>
          </w:p>
        </w:tc>
        <w:tc>
          <w:tcPr>
            <w:tcW w:type="dxa" w:w="3099"/>
            <w:vAlign w:val="center"/>
          </w:tcPr>
          <w:p>
            <w:pPr>
              <w:spacing w:after="80"/>
            </w:pPr>
            <w:r>
              <w:rPr>
                <w:sz w:val="20"/>
              </w:rPr>
              <w:t>900,00 EUR</w:t>
            </w:r>
          </w:p>
        </w:tc>
        <w:tc>
          <w:tcPr>
            <w:tcW w:type="dxa" w:w="3099"/>
            <w:vAlign w:val="center"/>
          </w:tcPr>
          <w:p>
            <w:pPr>
              <w:spacing w:after="80"/>
            </w:pPr>
            <w:r>
              <w:rPr>
                <w:sz w:val="20"/>
              </w:rPr>
              <w:t>HV-2025-05</w:t>
            </w:r>
          </w:p>
        </w:tc>
      </w:tr>
      <w:tr>
        <w:tc>
          <w:tcPr>
            <w:tcW w:type="dxa" w:w="3099"/>
            <w:vAlign w:val="center"/>
          </w:tcPr>
          <w:p>
            <w:pPr>
              <w:spacing w:after="80"/>
            </w:pPr>
            <w:r>
              <w:rPr>
                <w:sz w:val="20"/>
              </w:rPr>
              <w:t>Bankentgelte</w:t>
            </w:r>
          </w:p>
        </w:tc>
        <w:tc>
          <w:tcPr>
            <w:tcW w:type="dxa" w:w="3099"/>
            <w:vAlign w:val="center"/>
          </w:tcPr>
          <w:p>
            <w:pPr>
              <w:spacing w:after="80"/>
            </w:pPr>
            <w:r>
              <w:rPr>
                <w:sz w:val="20"/>
              </w:rPr>
              <w:t>60,00 EUR</w:t>
            </w:r>
          </w:p>
        </w:tc>
        <w:tc>
          <w:tcPr>
            <w:tcW w:type="dxa" w:w="3099"/>
            <w:vAlign w:val="center"/>
          </w:tcPr>
          <w:p>
            <w:pPr>
              <w:spacing w:after="80"/>
            </w:pPr>
            <w:r>
              <w:rPr>
                <w:sz w:val="20"/>
              </w:rPr>
              <w:t>BK-2025-05</w:t>
            </w:r>
          </w:p>
        </w:tc>
      </w:tr>
    </w:tbl>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Jahresabrechnung Kleinhausen 2025 Entwurf</dc:title>
  <dc:subject/>
  <dc:creator>Hausverwaltung Klein und Klar
Inhaberin Lotte Klar
Marktstraße 8, 31134 Hildesheim
lotte@kleinundklar.example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