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Unversandter Entwurf für die Versammlung am 20. November 2026</w:t>
      </w:r>
    </w:p>
    <w:p>
      <w:pPr>
        <w:pStyle w:val="Title"/>
      </w:pPr>
      <w:r>
        <w:t>Kleinhausen Beschlussvorlage zur Abrechnung 2025</w:t>
      </w:r>
    </w:p>
    <w:p>
      <w:r>
        <w:t>15.09.2026</w:t>
      </w:r>
    </w:p>
    <w:p>
      <w:r>
        <w:t>1. Vorgesehener Tagesordnungspunkt</w:t>
      </w:r>
    </w:p>
    <w:p>
      <w:r>
        <w:t>Die Eigentümerversammlung soll über die Anpassung der beschlossenen Kostenvorschüsse für 2025 auf Grundlage der geprüften Jahresabrechnung entscheiden. Die Kontenübersichten und der Vermögensbericht werden den Eigentümern zur Information vorgelegt. Diese Vorlage wurde anhand der ersten Abrechnungsfassung vom 15. September erstellt. Vor dem Versand der Einladung ist sie mit dem Ergebnis der Belegprüfung abzugleichen.</w:t>
      </w:r>
    </w:p>
    <w:p>
      <w:r>
        <w:t>2. Beschlusstext der ersten Fassung</w:t>
      </w:r>
    </w:p>
    <w:p>
      <w:r>
        <w:t>Auf Grundlage der Einzelabrechnungen 2025 vom 15. September 2026 werden die für das Kalenderjahr 2025 beschlossenen Kostenvorschüsse für die Wohnungen WE01, WE02, WE03, WE04 und WE05 um jeweils 64,00 EUR herabgesetzt. Da die bisherigen Kostenvorschüsse vollständig gezahlt wurden, ergibt sich für jeden der fünf Eigentümer ein Guthaben von 64,00 EUR. Die Verwalterin wird beauftragt, die Guthaben innerhalb von vierzehn Tagen nach der Beschlussfassung aus dem Betriebskonto an die jeweiligen Eigentümer auszuzahlen. Die beschlossenen Beiträge zur Erhaltungsrücklage bleiben unverändert.</w:t>
      </w:r>
    </w:p>
    <w:p>
      <w:r>
        <w:t>3. Stand der Vorbereitung</w:t>
      </w:r>
    </w:p>
    <w:p>
      <w:r>
        <w:t>Über diesen Text wurde noch nicht abgestimmt. Er ist weder Teil einer versandten Einladung noch als Beschluss in die Beschlusssammlung aufgenommen. Die Verwaltung hält diese Ausgangsfassung in der Akte fest. Die endgültige Vorlage soll die nach der Prüfung maßgebliche Abrechnungsfassung eindeutig bezeichnen.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Kleinhausen Beschlussvorlage zur Abrechnung 2025</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