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 und Personen bei Zink und Zunder</w:t>
      </w:r>
    </w:p>
    <w:p>
      <w:r>
        <w:t>23.09.2026</w:t>
      </w:r>
    </w:p>
    <w:p>
      <w:pPr>
        <w:pStyle w:val="Heading1"/>
      </w:pPr>
      <w:r>
        <w:t>1 Beteiligungen</w:t>
      </w:r>
    </w:p>
    <w:p>
      <w:r>
        <w:t>Das Stammkapital beträgt 50.000 EUR. Nach der zuletzt im Gesellschaftsordner abgelegten Gesellschafterliste hält Kunibert Knopf 20.000 EUR und damit 40 Prozent, Romy Yilmaz 17.500 EUR und damit 35 Prozent sowie Thekla Spätzle 12.500 EUR und damit 25 Prozent. Diese Übersicht ist eine interne Abschrift. Eine aktualisierte amtliche Registerauskunft ist nicht beigefügt. Eine Abtretung oder Kapitaländerung nach 2023 ist in der Ablage nicht dokumentiert.</w:t>
      </w:r>
    </w:p>
    <w:p>
      <w:pPr>
        <w:pStyle w:val="Heading1"/>
      </w:pPr>
      <w:r>
        <w:t>2 Geschäftsführung und Prokura</w:t>
      </w:r>
    </w:p>
    <w:p>
      <w:r>
        <w:t>Kunibert Knopf betreut Werkstatt und Vertrieb. Romy Yilmaz verantwortet Projekte, Einkauf und die laufende kaufmännische Abstimmung. Beide sind seit der Gründung Geschäftsführer. Die abgelegte Vertretungsregel lautet: zwei Geschäftsführer gemeinsam oder ein Geschäftsführer gemeinsam mit einem Prokuristen. Eine Befreiung von § 181 BGB ist in den vorliegenden Bestellungsunterlagen nicht erteilt.</w:t>
      </w:r>
    </w:p>
    <w:p>
      <w:r>
        <w:t>Gundula Pfennig ist als externe kaufmännische Fachkraft tätig und hat Gesamtprokura gemeinsam mit einem Geschäftsführer. Sie hält keine Anteile. Die tatsächlichen aktuellen Registereintragungen müssen anhand eines aktuellen Auszugs abgeglichen werden; diese Übersicht ist selbst kein Registerauszug.</w:t>
      </w:r>
    </w:p>
    <w:p>
      <w:pPr>
        <w:pStyle w:val="Heading1"/>
      </w:pPr>
      <w:r>
        <w:t>3 Beirat und weitere Beteiligte</w:t>
      </w:r>
    </w:p>
    <w:p>
      <w:r>
        <w:t>Der Beirat besteht aus der externen Wirtschaftsingenieurin Mechthild Mohn und dem externen Betriebswirt Samir Senf. Beide sind weder Gesellschafter noch Geschäftsführer und halten nach ihren Erklärungen auch keine Beteiligung an Fensterfuchs. Hanna Blech führt Gespräche über einen Kauf aller Geschäftsanteile für ihre eigene unternehmerische Tätigkeit. Ein Kaufvertrag ist nicht unterschrieben.</w:t>
      </w:r>
    </w:p>
    <w:p>
      <w:pPr>
        <w:pStyle w:val="Heading1"/>
      </w:pPr>
      <w:r>
        <w:t>4 Ablage und Erreichbarkeit</w:t>
      </w:r>
    </w:p>
    <w:p>
      <w:r>
        <w:t>Alle drei Gesellschafter haben den Versand von Einladungen und Protokollen an ihre hier verwendeten E-Mail-Adressen ausdrücklich angegeben. Die Postanschrift der GmbH lautet Werkhof Weißensee 14, 13088 Berlin. Kennungen wie BANK-ZZ oder IT-ZZ sind interne Ablagezeichen und keine echten Bank- oder Registeridentifikatoren.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 und Personen bei Zink und Zunder</dc:title>
  <dc:subject/>
  <dc:creator>Zink &amp; Zunder Metallbau GmbH
Werkhof Weißensee 14, 13088 Berlin
buero@zink-zunder.example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