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Satzung der Zink und Zunder Metallbau GmbH</w:t>
      </w:r>
    </w:p>
    <w:p>
      <w:r>
        <w:t>01.03.2023</w:t>
      </w:r>
    </w:p>
    <w:p>
      <w:pPr>
        <w:pStyle w:val="Heading1"/>
      </w:pPr>
      <w:r>
        <w:t>1 Firma Sitz und Gegenstand</w:t>
      </w:r>
    </w:p>
    <w:p>
      <w:r>
        <w:t>Die Gesellschaft führt die Firma Zink &amp; Zunder Metallbau GmbH. Ihr Sitz ist Berlin. Gegenstand des Unternehmens sind die Planung, Herstellung, Montage und Reparatur von Metallkonstruktionen, Fenstern, Geländern und Treppen sowie damit verbundene technische Dienstleistungen. Die Gesellschaft darf Zweigniederlassungen errichten und sich an anderen Unternehmen beteiligen, soweit dies ihrem Unternehmensgegenstand dient.</w:t>
      </w:r>
    </w:p>
    <w:p>
      <w:pPr>
        <w:pStyle w:val="Heading1"/>
      </w:pPr>
      <w:r>
        <w:t>2 Dauer und Geschäftsjahr</w:t>
      </w:r>
    </w:p>
    <w:p>
      <w:r>
        <w:t>Die Gesellschaft besteht auf unbestimmte Zeit. Das Geschäftsjahr ist das Kalenderjahr. Bekanntmachungen der Gesellschaft erfolgen, soweit gesetzlich erforderlich, in den gesetzlich vorgesehenen Medien.</w:t>
      </w:r>
    </w:p>
    <w:p>
      <w:pPr>
        <w:pStyle w:val="Heading1"/>
      </w:pPr>
      <w:r>
        <w:t>3 Stammkapital und Geschäftsanteile</w:t>
      </w:r>
    </w:p>
    <w:p>
      <w:r>
        <w:t>Das Stammkapital beträgt 50.000 EUR. Kunibert Knopf hält den Geschäftsanteil mit der laufenden Nummer 1 im Nennbetrag von 20.000 EUR. Romy Yilmaz hält den Geschäftsanteil mit der laufenden Nummer 2 im Nennbetrag von 17.500 EUR. Thekla Spätzle hält den Geschäftsanteil mit der laufenden Nummer 3 im Nennbetrag von 12.500 EUR. Die Einlagen sind in Geld zu erbringen. Nach den zum 1. März 2023 vorliegenden Zahlungsbestätigungen sind die Einlagen vollständig geleistet.</w:t>
      </w:r>
    </w:p>
    <w:p>
      <w:pPr>
        <w:pStyle w:val="Heading1"/>
      </w:pPr>
      <w:r>
        <w:t>4 Geschäftsführung und Vertretung</w:t>
      </w:r>
    </w:p>
    <w:p>
      <w:r>
        <w:t>Die Gesellschaft hat einen oder mehrere Geschäftsführer. Sind mehrere Geschäftsführer bestellt, wird die Gesellschaft durch zwei Geschäftsführer gemeinschaftlich oder durch einen Geschäftsführer gemeinsam mit einem Prokuristen vertreten. Ist nur ein Geschäftsführer bestellt, vertritt er die Gesellschaft allein. Eine Befreiung von den Beschränkungen des § 181 BGB wird mit dieser Satzung nicht erteilt. Eine besondere Befreiung bedarf eines gesonderten zulässigen Gesellschafterbeschlusses und der erforderlichen weiteren Umsetzung.</w:t>
      </w:r>
    </w:p>
    <w:p>
      <w:r>
        <w:t>Die Geschäftsführer führen die Geschäfte gemeinsam. Die interne Aufgabenverteilung lässt ihre gesetzlichen Pflichten unberührt. Maßnahmen außerhalb des gewöhnlichen Geschäftsbetriebs sind vor ihrer Durchführung miteinander abzustimmen. Die Gesellschafterversammlung kann eine Geschäftsordnung beschließen.</w:t>
      </w:r>
    </w:p>
    <w:p>
      <w:pPr>
        <w:pStyle w:val="Heading1"/>
      </w:pPr>
      <w:r>
        <w:t>5 Fakultativ eingerichteter Beirat</w:t>
      </w:r>
    </w:p>
    <w:p>
      <w:r>
        <w:t>Die Gesellschaft kann einen Beirat aus zwei externen, nicht an der Gesellschaft beteiligten Personen einrichten. Die Gesellschafterversammlung bestellt und entlässt die Mitglieder mit einfacher Mehrheit der abgegebenen Stimmen. Die Amtszeit beträgt drei Jahre; Wiederbestellung ist zulässig. Der Beirat berät die Geschäftsführung und übt ausschließlich die in dieser Satzung und einer darauf beruhenden Beiratsordnung ausdrücklich übertragenen internen Zustimmungsbefugnisse aus. Er ist kein Aufsichtsrat und vertritt die Gesellschaft nicht gegenüber Dritten.</w:t>
      </w:r>
    </w:p>
    <w:p>
      <w:r>
        <w:t>Der Beirat entscheidet einstimmig. Seine Zustimmung ist vor Aufnahme, wesentlicher Änderung, Besicherung oder vorzeitiger Rückzahlung eines Darlehens mit einem Betrag von mehr als 25.000 EUR einzuholen. Sachlich zusammenhängende Teilgeschäfte werden zusammengerechnet. Dies gilt auch für Gesellschafterdarlehen und für wirtschaftlich vergleichbare Finanzierungsgeschäfte. Die ordnungsgemäße Erfüllung bereits wirksam vereinbarter, fälliger laufender Zinszahlungen bedarf keiner erneuten Zustimmung. Die Zustimmung ist mindestens in Textform zu dokumentieren. Eine bloße Kenntnisnahme oder die Teilnahme eines Beiratsmitglieds an einem Gespräch ersetzt sie nicht.</w:t>
      </w:r>
    </w:p>
    <w:p>
      <w:r>
        <w:t>Der Zustimmungsvorbehalt gilt im Innenverhältnis. Die Vertretungsregelung nach Abschnitt 4 bleibt unberührt. Ist der Beirat nicht besetzt oder verweigert er die Zustimmung, kann die Geschäftsführung die Gesellschafterversammlung vor Durchführung des Geschäfts um eine Entscheidung ersuchen. Daraus folgt keine automatische Erteilung einer fehlenden Erklärung gegenüber dem Vertragspartner.</w:t>
      </w:r>
    </w:p>
    <w:p>
      <w:pPr>
        <w:pStyle w:val="Heading1"/>
      </w:pPr>
      <w:r>
        <w:t>6 Einberufung der Gesellschafterversammlung</w:t>
      </w:r>
    </w:p>
    <w:p>
      <w:r>
        <w:t>Jeder Geschäftsführer ist berechtigt, eine Gesellschafterversammlung einzuberufen. Die Einladung erfolgt mindestens 14 volle Kalendertage vor dem Versammlungstag in Textform an die zuletzt schriftlich mitgeteilte Post- oder E-Mail-Adresse jedes Gesellschafters. Der Tag des Zugangs und der Versammlungstag werden nicht mitgerechnet. Die Einladung nennt Ort, Zeit und die Tagesordnung so konkret, dass die Gesellschafter sich auf die Beschlussgegenstände vorbereiten können.</w:t>
      </w:r>
    </w:p>
    <w:p>
      <w:r>
        <w:t>Ergänzungen der Tagesordnung sind allen Gesellschaftern mindestens sieben volle Kalendertage vor der Versammlung in Textform mitzuteilen. Der Zugangstag und der Versammlungstag werden nicht mitgerechnet. Über nicht rechtzeitig angekündigte Gegenstände wird nur beschlossen, wenn sämtliche Gesellschafter anwesend oder vertreten sind und mit der Beschlussfassung einverstanden sind. Jeder Gesellschafter darf sich durch einen anderen Gesellschafter oder einen zur beruflichen Verschwiegenheit verpflichteten Rechtsanwalt aufgrund einer Vollmacht in Textform vertreten lassen.</w:t>
      </w:r>
    </w:p>
    <w:p>
      <w:pPr>
        <w:pStyle w:val="Heading1"/>
      </w:pPr>
      <w:r>
        <w:t>7 Leitung Stimmrechte und Mehrheiten</w:t>
      </w:r>
    </w:p>
    <w:p>
      <w:r>
        <w:t>Die anwesenden oder vertretenen Gesellschafter wählen einen Versammlungsleiter mit einfacher Mehrheit der abgegebenen Stimmen. Der Versammlungsleiter stellt die Anwesenheit fest, leitet die Aussprache, lässt über jeden Beschlussantrag getrennt abstimmen und gibt die von ihm festgestellten Ergebnisse bekannt. Beanstandungen sind auf Verlangen in das Protokoll aufzunehmen.</w:t>
      </w:r>
    </w:p>
    <w:p>
      <w:r>
        <w:t>Je ein EUR des Nennbetrags eines Geschäftsanteils gewährt eine Stimme. Beschlüsse werden grundsätzlich mit mehr als der Hälfte der gültig abgegebenen Stimmen gefasst. Stimmenthaltungen und ungültige Stimmen bleiben für die Berechnung dieser Mehrheit außer Betracht. Gesetzliche Stimmverbote bleiben unberührt. Die Zahlungsfähigkeit oder die Bereitschaft eines Gesellschafters zur Beteiligung an einer Kapitalmaßnahme begründet für sich allein kein zusätzliches satzungsmäßiges Stimmverbot.</w:t>
      </w:r>
    </w:p>
    <w:p>
      <w:r>
        <w:t>Beschlüsse über Satzungsänderungen einschließlich einer Kapitalerhöhung und über die Zustimmung zur Übertragung von Geschäftsanteilen bedürfen mindestens 75 Prozent der gültig abgegebenen Stimmen. Die gesetzlich erforderlichen Formen, Zustimmungen und Registerhandlungen bleiben unberührt. Die Bestellung und Abberufung von Geschäftsführern unterliegt der einfachen Mehrheit, soweit zwingendes Recht nichts anderes verlangt. Die Wirksamkeit eines Beschlusses wird durch seine Aufnahme in das Protokoll nicht zusätzlich zugesichert.</w:t>
      </w:r>
    </w:p>
    <w:p>
      <w:pPr>
        <w:pStyle w:val="Heading1"/>
      </w:pPr>
      <w:r>
        <w:t>8 Übertragung und Belastung von Geschäftsanteilen</w:t>
      </w:r>
    </w:p>
    <w:p>
      <w:r>
        <w:t>Jede Übertragung oder Belastung eines Geschäftsanteils bedarf der vorherigen Zustimmung der Gesellschafterversammlung nach Abschnitt 7. Die Zustimmung kann sich auf einen konkret bezeichneten Erwerber und bestimmte Vertragsbedingungen beziehen. Sie ersetzt weder eine erforderliche notarielle Beurkundung noch die persönliche Vertragserklärung des veräußernden Gesellschafters. Eine Pflicht aller Gesellschafter, einem Verkauf ihrer Anteile zuzustimmen oder ihre Anteile mitzuverkaufen, wird mit dieser Satzung nicht begründet.</w:t>
      </w:r>
    </w:p>
    <w:p>
      <w:r>
        <w:t>Ein Gesellschafter, der verkaufen möchte, legt den anderen Gesellschaftern Erwerber, Preis, wesentliche Bedingungen und den vorgesehenen Vollzugstermin in Textform offen. Unverbindliche Gespräche dürfen geführt werden; eine Bindung der übrigen Gesellschafter entsteht hierdurch nicht.</w:t>
      </w:r>
    </w:p>
    <w:p>
      <w:pPr>
        <w:pStyle w:val="Heading1"/>
      </w:pPr>
      <w:r>
        <w:t>9 Einziehung aus wichtigem Grund</w:t>
      </w:r>
    </w:p>
    <w:p>
      <w:r>
        <w:t>Ein Geschäftsanteil kann mit Zustimmung des betroffenen Gesellschafters eingezogen werden. Ohne dessen Zustimmung ist die Einziehung zulässig, wenn in seiner Person ein wichtiger Grund vorliegt, der den übrigen Gesellschaftern unter Abwägung aller Umstände die Fortsetzung der Gesellschaft mit ihm unzumutbar macht. Hierzu können insbesondere eine schwere schuldhafte Verletzung wesentlicher gesellschaftlicher Pflichten oder eine fortgesetzte erhebliche Schädigung der Gesellschaft gehören. Ein bloßer Meinungsunterschied über eine Geschäftsentscheidung genügt nicht allein.</w:t>
      </w:r>
    </w:p>
    <w:p>
      <w:r>
        <w:t>Vor der Beschlussfassung ist dem betroffenen Gesellschafter Gelegenheit zu geben, zu den konkret bezeichneten Vorwürfen Stellung zu nehmen. Über die Einziehung wird für jeden betroffenen Anteil einzeln beschlossen. Der betroffene Gesellschafter ist bei der Abstimmung über die Einziehung seines eigenen Anteils nicht stimmberechtigt; sein Nennbetrag bleibt bei dieser Abstimmung für die Mehrheitsberechnung außer Betracht. Der Beschluss bedarf mindestens 75 Prozent der verbleibenden gültig abgegebenen Stimmen.</w:t>
      </w:r>
    </w:p>
    <w:p>
      <w:r>
        <w:t>Die Einziehung wird mit Zugang der Beschlussmitteilung an den betroffenen Gesellschafter wirksam, soweit die gesetzlichen Voraussetzungen vorliegen. Sie darf nicht durchgeführt werden, wenn gesetzliche Voraussetzungen fehlen. Die Geschäftsführung hat insbesondere die für die Einziehung und die Finanzierung der Abfindung erforderlichen Angaben zu erheben und der Gesellschafterversammlung vorzulegen. Eine anderweitige Ausschließung eines Gesellschafters wird durch diesen Abschnitt nicht automatisch fingiert.</w:t>
      </w:r>
    </w:p>
    <w:p>
      <w:pPr>
        <w:pStyle w:val="Heading1"/>
      </w:pPr>
      <w:r>
        <w:t>10 Abfindung</w:t>
      </w:r>
    </w:p>
    <w:p>
      <w:r>
        <w:t>Bei einer Einziehung erhält der betroffene Gesellschafter eine Abfindung in Höhe des auf seinen Anteil entfallenden Verkehrswerts. Bewertungsstichtag ist der Tag des Einziehungsbeschlusses. Können sich die Beteiligten nicht binnen vier Wochen auf den Wert einigen, wird ein unabhängiger Wirtschaftsprüfer gemeinsam ausgewählt. Kommt auch darüber keine Einigung zustande, soll die Industrie- und Handelskammer Berlin um Benennung eines geeigneten Sachverständigen ersucht werden.</w:t>
      </w:r>
    </w:p>
    <w:p>
      <w:r>
        <w:t>Die Abfindung ist in drei gleichen Jahresraten zu zahlen; die erste Rate ist sechs Monate nach verbindlicher Feststellung des Werts fällig. Der noch offene Betrag wird ab dem Bewertungsstichtag mit zwei Prozentpunkten über dem jeweiligen Basiszinssatz jährlich verzinst. Gesetzliche Zahlungsverbote bleiben unberührt. Die Stundung und die Ratenregelung heben zwingende Grenzen der Kapitalerhaltung nicht auf. Weitere Ansprüche und die gerichtliche Überprüfung bleiben unberührt.</w:t>
      </w:r>
    </w:p>
    <w:p>
      <w:pPr>
        <w:pStyle w:val="Heading1"/>
      </w:pPr>
      <w:r>
        <w:t>11 Protokoll und gerichtliche Überprüfung</w:t>
      </w:r>
    </w:p>
    <w:p>
      <w:r>
        <w:t>Über jede Versammlung wird ein Protokoll mit Teilnehmern, Anträgen, Abstimmungsergebnissen, Ergebnisfeststellungen und verlangten Widersprüchen gefertigt. Der Versammlungsleiter unterzeichnet das Protokoll und übersendet es unverzüglich an alle Gesellschafter. Eine Empfangsbestätigung bedeutet keine Zustimmung zum Inhalt.</w:t>
      </w:r>
    </w:p>
    <w:p>
      <w:r>
        <w:t>Klagen zur Anfechtung von Gesellschafterbeschlüssen sind innerhalb eines Monats nach Zugang des Protokolls zu erheben. Zwingende gesetzliche Regelungen, insbesondere über nichtige Beschlüsse, bleiben unberührt. Der Ablauf dieser Frist wird nicht durch ein bloßes außergerichtliches Korrekturverlangen aufgehalten. Diese Regelung enthält keine Vereinbarung darüber, welche Beschlüsse im konkreten Fall anfechtbar oder nichtig sind.</w:t>
      </w:r>
    </w:p>
    <w:p>
      <w:pPr>
        <w:pStyle w:val="Heading1"/>
      </w:pPr>
      <w:r>
        <w:t>12 Jahresabschluss und Ergebnisverwendung</w:t>
      </w:r>
    </w:p>
    <w:p>
      <w:r>
        <w:t>Die Geschäftsführung stellt den Jahresabschluss innerhalb der gesetzlichen Fristen auf und legt ihn den Gesellschaftern vor. Über Feststellung des Jahresabschlusses und Verwendung des Ergebnisses entscheidet die Gesellschafterversammlung unter Beachtung zwingender Vorschriften. Ausschüttungen erfolgen entsprechend den Beteiligungsverhältnissen, soweit keine zulässige abweichende Vereinbarung getroffen wird.</w:t>
      </w:r>
    </w:p>
    <w:p>
      <w:pPr>
        <w:pStyle w:val="Heading1"/>
      </w:pPr>
      <w:r>
        <w:t>13 Kosten und Schlussbestimmungen</w:t>
      </w:r>
    </w:p>
    <w:p>
      <w:r>
        <w:t>Die Gesellschaft trägt Gründungskosten bis zu einem Gesamtbetrag von 2.500 EUR. Weitere Kostenregelungen ergeben sich aus dem jeweiligen Auftrag. Änderungen dieser Satzung bedürfen der gesetzlich vorgeschriebenen Form. Soweit einzelne Bestimmungen unwirksam sind, beurteilen sich ihre Folgen nach den gesetzlichen Vorschriften. Die übrigen Vertragsbestimmungen bleiben bestehen, soweit dies rechtlich zulässig ist.</w:t>
      </w:r>
    </w:p>
    <w:p>
      <w:r>
        <w:t>Die vorliegende Arbeitsabschrift gibt den in der Gesellschaft abgelegten Satzungstext vom 1. März 2023 wieder. Sie ist keine beglaubigte Abschrift und ersetzt keinen aktuellen Register- oder Urkundennachweis.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Satzung der Zink und Zunder Metallbau GmbH</dc:title>
  <dc:subject/>
  <dc:creator>Zink &amp; Zunder Metallbau GmbH
Werkhof Weißensee 14, 13088 Berlin
buero@zink-zunder.example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