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Abschrift der Bestellung und Vertretungsregelung</w:t>
      </w:r>
    </w:p>
    <w:p>
      <w:r>
        <w:t>01.03.2023</w:t>
      </w:r>
    </w:p>
    <w:p>
      <w:pPr>
        <w:pStyle w:val="Heading1"/>
      </w:pPr>
      <w:r>
        <w:t>1 Geschäftsführerbestellung</w:t>
      </w:r>
    </w:p>
    <w:p>
      <w:r>
        <w:t>Die drei Gründungsgesellschafter bestellen Kunibert Knopf und Romy Yilmaz zu Geschäftsführern. Die Geschäftsführer sind jeweils nur gemeinsam mit einem weiteren Geschäftsführer oder einem Prokuristen zur Vertretung befugt. Eine Einzelvertretungsbefugnis wird keinem von ihnen erteilt. Von den Beschränkungen des § 181 BGB werden sie nicht befreit.</w:t>
      </w:r>
    </w:p>
    <w:p>
      <w:pPr>
        <w:pStyle w:val="Heading1"/>
      </w:pPr>
      <w:r>
        <w:t>2 Prokura</w:t>
      </w:r>
    </w:p>
    <w:p>
      <w:r>
        <w:t>Gundula Pfennig wird Gesamtprokura gemeinsam mit einem Geschäftsführer erteilt. Sie darf die Gesellschaft nicht allein vertreten. Eine Befreiung von § 181 BGB wird auch ihr nicht erteilt. Die Anmeldung der Bestellung und der Vertretungsregelung wird gesondert vorbereitet.</w:t>
      </w:r>
    </w:p>
    <w:p>
      <w:pPr>
        <w:pStyle w:val="Heading1"/>
      </w:pPr>
      <w:r>
        <w:t>3 Interne Aufgaben</w:t>
      </w:r>
    </w:p>
    <w:p>
      <w:r>
        <w:t>Kunibert Knopf übernimmt die technische Werkstattorganisation und den Vertrieb. Romy Yilmaz übernimmt Projektsteuerung, Einkauf und die kaufmännische Planung. Finanzierungen werden gemeinsam abgestimmt. Die Aufgabenverteilung ändert die gemeinschaftliche Vertretung und die Beiratsvorbehalte nicht.</w:t>
      </w:r>
    </w:p>
    <w:p>
      <w:pPr>
        <w:pStyle w:val="Heading1"/>
      </w:pPr>
      <w:r>
        <w:t>4 Ablagevermerk</w:t>
      </w:r>
    </w:p>
    <w:p>
      <w:r>
        <w:t>Diese am 23. September 2026 aus dem Gesellschaftsordner übertragene Abschrift gibt die damals abgelegten Beschlüsse wieder. Sie enthält keine beglaubigte Unterschrift, keine Urkundenrolle und keine amtliche Registerbescheinigung. Nachträgliche Sondervollmachten oder Befreiungsbeschlüsse befinden sich in dem übergebenen Ordner nicht.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Abschrift der Bestellung und Vertretungsregelung</dc:title>
  <dc:subject/>
  <dc:creator>Zink &amp; Zunder Metallbau GmbH
Werkhof Weißensee 14, 13088 Berlin
buero@zink-zunder.example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