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Beiratsordnung Zink und Zunder</w:t>
      </w:r>
    </w:p>
    <w:p>
      <w:r>
        <w:t>15.03.2023</w:t>
      </w:r>
    </w:p>
    <w:p>
      <w:pPr>
        <w:pStyle w:val="Heading1"/>
      </w:pPr>
      <w:r>
        <w:t>1 Bestellung und Aufgabe</w:t>
      </w:r>
    </w:p>
    <w:p>
      <w:r>
        <w:t>Mechthild Mohn und Samir Senf werden für drei Jahre als externe Mitglieder des fakultativen Beirats bestellt. Der Beirat berät die Geschäftsführung. Er besitzt keine Vertretungsmacht nach außen. Seine Zuständigkeiten ergeben sich aus Abschnitt 5 der Satzung.</w:t>
      </w:r>
    </w:p>
    <w:p>
      <w:pPr>
        <w:pStyle w:val="Heading1"/>
      </w:pPr>
      <w:r>
        <w:t>2 Anträge und Beschlüsse</w:t>
      </w:r>
    </w:p>
    <w:p>
      <w:r>
        <w:t>Zustimmungsanträge werden gleichzeitig an beide Mitglieder übermittelt. Der Antrag nennt Vertragspartner, Betrag, Laufzeit, Zinsen, Sicherheiten, Zweck und erwartete Folgen für die Liquidität. Bei Gesellschaftergeschäften wird die Beteiligung des Vertragspartners ausdrücklich bezeichnet. Wesentliche Vertragsänderungen und vorzeitige Rückzahlungen oberhalb der satzungsmäßigen Grenze benötigen einen eigenen Antrag.</w:t>
      </w:r>
    </w:p>
    <w:p>
      <w:r>
        <w:t>Eine Zustimmung kommt nur durch übereinstimmende ausdrückliche Erklärungen beider Mitglieder zustande. Der zuständige Geschäftsführer legt die Erklärungen zusammen mit der freigegebenen Vertragsfassung ab. Schweigen, eine informelle Gesprächsteilnahme oder die Bestätigung des Nachrichteneingangs gelten nicht als Zustimmung. Ohne ausreichende Angaben darf der Beirat Nachfragen stellen.</w:t>
      </w:r>
    </w:p>
    <w:p>
      <w:pPr>
        <w:pStyle w:val="Heading1"/>
      </w:pPr>
      <w:r>
        <w:t>3 Informationsaustausch</w:t>
      </w:r>
    </w:p>
    <w:p>
      <w:r>
        <w:t>Der Beirat kann die Geschäftsführung um die zur Beratung erforderlichen Unterlagen bitten. Er übernimmt dadurch weder die Geschäftsführung noch eine Abschlussprüfung. Erkennt er ungeklärte Zuständigkeits- oder Finanzierungsfragen, weist er die Geschäftsführung darauf hin. Er trifft keine verbindliche Entscheidung über streitige Gesellschafterbeschlüsse oder individuelle Ansprüche eines Gesellschafters.</w:t>
      </w:r>
    </w:p>
    <w:p>
      <w:pPr>
        <w:pStyle w:val="Heading1"/>
      </w:pPr>
      <w:r>
        <w:t>4 Nachgetragener Ablagevermerk vom 23. September 2026</w:t>
      </w:r>
    </w:p>
    <w:p>
      <w:r>
        <w:t>Gundula Pfennig hat bei Zusammenstellung dieser Arbeitsabschrift ergänzt: Die Gesellschafter haben die Bestellung beider Mitglieder am 10. März 2026 unverändert für weitere drei Jahre erneuert. Die entsprechende einfache Niederschrift liegt dem Personalbüro vor. Dieser Vermerk gehört nicht zum ursprünglichen Text vom 15. März 2023.</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Beiratsordnung Zink und Zunder</dc:title>
  <dc:subject/>
  <dc:creator>Zink &amp; Zunder Metallbau GmbH
Werkhof Weißensee 14, 13088 Berlin
buero@zink-zunder.example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