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Gundula Pfennig</w:t>
        <w:br/>
        <w:t>Kaufmännische Verwaltung</w:t>
        <w:br/>
        <w:t>gundula@zink-zunder.example</w:t>
      </w:r>
    </w:p>
    <w:p>
      <w:r>
        <w:t>Zink &amp; Zunder Metallbau GmbH</w:t>
        <w:br/>
        <w:t>Werkhof Weißensee 14, 13088 Berlin</w:t>
        <w:br/>
        <w:t>buero@zink-zunder.example</w:t>
      </w:r>
    </w:p>
    <w:p>
      <w:pPr>
        <w:pStyle w:val="Title"/>
      </w:pPr>
      <w:r>
        <w:t>Interner Zahlungsnachweis zur Rückzahlung an Kunibert</w:t>
      </w:r>
    </w:p>
    <w:p>
      <w:r>
        <w:t>16.09.2026</w:t>
      </w:r>
    </w:p>
    <w:p>
      <w:pPr>
        <w:pStyle w:val="Heading1"/>
      </w:pPr>
      <w:r>
        <w:t>1 Buchung</w:t>
      </w:r>
    </w:p>
    <w:p>
      <w:r>
        <w:t>Das Geschäftskonto BANK-ZZ weist zum 15. September 2026 eine Auszahlung von 30.000 EUR an Kunibert Knopf aus. Als Verwendungszweck wurde Teilrückzahlung Darlehen Knopf Juni 2026 eingetragen. Es handelt sich um eine Tilgung; eine zusätzliche Zinszahlung wurde nicht angewiesen. BANK-ZZ ist unsere interne Kontobezeichnung und keine IBAN.</w:t>
      </w:r>
    </w:p>
    <w:p>
      <w:pPr>
        <w:pStyle w:val="Heading1"/>
      </w:pPr>
      <w:r>
        <w:t>2 Technischer Ablauf</w:t>
      </w:r>
    </w:p>
    <w:p>
      <w:r>
        <w:t>Kunibert sandte den Zahlungswunsch am 14. September intern an Romy. Romy erfasste die Zahlung und gab sie am 15. September um 09.18 Uhr im Bankverfahren frei. Gundula bestätigte um 09.31 Uhr als zweite technische Freigeberin. Der Kontoauszug zeigt die Ausführung am selben Tag. Die zweite Freigabe dokumentiert den Zahlungsablauf; ein unterzeichneter Vertragsnachtrag oder eine Beiratsentscheidung war dem Vorgang nicht beigefügt.</w:t>
      </w:r>
    </w:p>
    <w:p>
      <w:pPr>
        <w:pStyle w:val="Heading1"/>
      </w:pPr>
      <w:r>
        <w:t>3 Gespräch bei Freigabe</w:t>
      </w:r>
    </w:p>
    <w:p>
      <w:r>
        <w:t>Kunibert erklärte, er benötige einen Teil seines Geldes für eine andere Anschaffung. Romy fragte, ob ausreichend Geld für Löhne und Material bleibe. Kunibert verwies auf erwartete Kundenzahlungen. Gundula prüfte den zum Freigabezeitpunkt sichtbaren Kontostand, nicht die rechtliche Wirksamkeit des Darlehens und nicht sämtliche Fälligkeiten.</w:t>
      </w:r>
    </w:p>
    <w:p>
      <w:pPr>
        <w:pStyle w:val="Heading1"/>
      </w:pPr>
      <w:r>
        <w:t>4 Ablage</w:t>
      </w:r>
    </w:p>
    <w:p>
      <w:r>
        <w:t>Der Banklauf ist in der Finanzarbeitsmappe zusammen mit den übrigen Septemberbewegungen erfasst. Dieser interne Nachweis ist keine amtliche Bankbescheinigung. Die ursprünglichen Bankunterlagen und die Nachrichten vom 14. September sollen bei Bedarf zusätzlich aus der Buchhaltung gesichert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Interner Zahlungsnachweis zur Rückzahlung an Kunibert</dc:title>
  <dc:subject/>
  <dc:creator>Gundula Pfennig
Kaufmännische Verwaltung
gundula@zink-zunder.example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