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Zink &amp; Zunder Metallbau GmbH</w:t>
        <w:br/>
        <w:t>Werkhof Weißensee 14, 13088 Berlin</w:t>
        <w:br/>
        <w:t>buero@zink-zunder.example</w:t>
      </w:r>
    </w:p>
    <w:p>
      <w:r>
        <w:t>Geschäftsführung und Beirat</w:t>
      </w:r>
    </w:p>
    <w:p>
      <w:pPr>
        <w:pStyle w:val="Title"/>
      </w:pPr>
      <w:r>
        <w:t>Besprechung zum Finanzierungsbedarf der Werkstatt</w:t>
      </w:r>
    </w:p>
    <w:p>
      <w:r>
        <w:t>08.09.2026</w:t>
      </w:r>
    </w:p>
    <w:p>
      <w:pPr>
        <w:pStyle w:val="Heading1"/>
      </w:pPr>
      <w:r>
        <w:t>1 Gespräch und Anlass</w:t>
      </w:r>
    </w:p>
    <w:p>
      <w:r>
        <w:t>Am 8. September besprachen Kunibert Knopf, Romy Yilmaz und Gundula Pfennig die Finanzierung der nächsten Monate. Für die vorgeschlagene Material- und Maschinenplanung wird ein zusätzlicher Mittelzufluss von 80.000 EUR angesetzt. Die Zahl ist ein Planungsvorschlag; sie ist nicht identisch mit sämtlichen bereits fälligen Verbindlichkeiten. Konkrete Aufträge, Liefertermine und verfügbare Kreditlinien müssen noch zusammengeführt werden.</w:t>
      </w:r>
    </w:p>
    <w:p>
      <w:pPr>
        <w:pStyle w:val="Heading1"/>
      </w:pPr>
      <w:r>
        <w:t>2 Kapitalvorschlag</w:t>
      </w:r>
    </w:p>
    <w:p>
      <w:r>
        <w:t>Kunibert schlägt vor, das Stammkapital von 50.000 auf 100.000 EUR zu erhöhen. Auf die neuen Geschäftsanteile von insgesamt 50.000 EUR sollen zusätzlich 30.000 EUR Aufgeld gezahlt werden. Kunibert möchte alle neuen Anteile übernehmen und insgesamt 80.000 EUR einzahlen. Er verlangt, dass Romy keine neuen Anteile erhält, weil sie derzeit kein zusätzliches Geld bereitstellen könne. Auch Thekla soll nach seinem Vorschlag nichts zeichnen.</w:t>
      </w:r>
    </w:p>
    <w:p>
      <w:r>
        <w:t>Romy weist darauf hin, dass ihr Darlehen von 60.000 EUR weiterhin in der Gesellschaft steht. Sie möchte vor einer Entscheidung Alternativen, Beteiligungsfolgen und die neue Liquiditätsplanung sehen. Thekla erklärt, aktuell ebenfalls keine weitere Einlage zusagen zu wollen. Eine schriftliche Verzichtserklärung auf eigene Beteiligungsmöglichkeiten hat keine von beiden abgegeben.</w:t>
      </w:r>
    </w:p>
    <w:p>
      <w:pPr>
        <w:pStyle w:val="Heading1"/>
      </w:pPr>
      <w:r>
        <w:t>3 Zahlenstand und Grenzen</w:t>
      </w:r>
    </w:p>
    <w:p>
      <w:r>
        <w:t>Die interne Übersicht zum 31. August zeigt rechnerisch ein Eigenkapital von 7.000 EUR bei einer Bilanzsumme von 257.000 EUR. Forderungen und Vorräte sind noch nicht abschließend bewertet. Eine Unternehmensbewertung und eine Prognose liegen nicht vor. Der Bankbestand vom 31. August beträgt 42.000 EUR. Über eine Zahlungsunfähigkeit oder Überschuldung wurde in diesem Gespräch keine belastbare Feststellung getroffen.</w:t>
      </w:r>
    </w:p>
    <w:p>
      <w:pPr>
        <w:pStyle w:val="Heading1"/>
      </w:pPr>
      <w:r>
        <w:t>4 Weiteres Vorgehen</w:t>
      </w:r>
    </w:p>
    <w:p>
      <w:r>
        <w:t>Die Buchhaltung soll bis Anfang Oktober den Septemberbanklauf, die offenen Posten und die beiden Darlehenskonten zusammenstellen. Stundungen und zusätzliche Finanzierungsmöglichkeiten sind noch nicht bestätigt. Der Beirat soll eine vollständige Unterlage erhalten. Kunibert möchte die Kapitalfrage auf die nächste Gesellschafterversammlung setzen.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Besprechung zum Finanzierungsbedarf der Werkstatt</dc:title>
  <dc:subject/>
  <dc:creator>Zink &amp; Zunder Metallbau GmbH
Werkhof Weißensee 14, 13088 Berlin
buero@zink-zunder.example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