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Thekla Spätzle</w:t>
        <w:br/>
        <w:t>Lerchenzeile 11, 13129 Berlin</w:t>
        <w:br/>
        <w:t>thekla@zink-zunder.example</w:t>
      </w:r>
    </w:p>
    <w:p>
      <w:r>
        <w:t>Eigene Ablage</w:t>
      </w:r>
    </w:p>
    <w:p>
      <w:pPr>
        <w:pStyle w:val="Title"/>
      </w:pPr>
      <w:r>
        <w:t>Persönliche Mitschrift von Thekla Spätzle</w:t>
      </w:r>
    </w:p>
    <w:p>
      <w:r>
        <w:t>25.09.2026</w:t>
      </w:r>
    </w:p>
    <w:p>
      <w:r>
        <w:t>Ich habe die Leitung übernommen, weil Romy und Kunibert sich schon vor Beginn gegenseitig unterbrochen haben. Bei der Kapitalfrage sagte Kunibert, wer nicht mitfinanzieren könne, habe dazu nichts zu entscheiden. Ich habe Romys Nein deshalb nicht mitgezählt. Romy hat sofort protestiert. Ich bin keine Juristin und weiß nicht, ob meine Berechnung richtig war.</w:t>
      </w:r>
    </w:p>
    <w:p>
      <w:r>
        <w:t>Bei Kuniberts Abberufung habe ich mich enthalten. Ich wollte zunächst die Dateien und die Kundenanfrage klären. Bei seiner Einziehung habe ich dann ja gestimmt, weil ich einen Ausweg aus dem Streit wollte. Mir war nicht klar, wie sich diese Feststellung auf die folgenden Stimmen auswirken könnte. Ich habe daher überall weiter die ursprünglichen Beträge notiert und gesagt, dass die Umsetzung geprüft werden muss.</w:t>
      </w:r>
    </w:p>
    <w:p>
      <w:r>
        <w:t>Bei Romys Abberufung habe ich nein gestimmt, weil die kaufmännische Arbeit sonst liegen bleibt. Bei der Einziehung ihres Anteils habe ich trotzdem ja gestimmt, weil ich dachte, ein späterer Anteilsverkauf an Hanna könne dann einfacher werden. Romy sagte, das sei keine vernünftige Grundlage. Sie hat bei beiden Punkten nein gestimmt und widersprochen.</w:t>
      </w:r>
    </w:p>
    <w:p>
      <w:r>
        <w:t>Wir haben keine Abfindung gerechnet. Kunibert sagte, die GmbH werde das schon über Raten schaffen. Gundula hatte nur die Augustübersicht und keine bestätigte Planung vorliegen. Ich habe keine Zusage von Hanna erhalten, Abfindungen zu finanzieren. Mir wäre am liebsten, wir würden die Dinge rechtlich sortieren und dann miteinander verhandeln, bevor im Betrieb Fakten geschaffen werden.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Persönliche Mitschrift von Thekla Spätzle</dc:title>
  <dc:subject/>
  <dc:creator>Thekla Spätzle
Lerchenzeile 11, 13129 Berlin
thekla@zink-zunder.example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