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Mechthild Mohn und Samir Senf</w:t>
        <w:br/>
        <w:t>Fakultativer Beirat</w:t>
        <w:br/>
        <w:t>beirat@zink-zunder.example</w:t>
      </w:r>
    </w:p>
    <w:p>
      <w:r>
        <w:t>Zink &amp; Zunder Metallbau GmbH</w:t>
        <w:br/>
        <w:t>Werkhof Weißensee 14, 13088 Berlin</w:t>
        <w:br/>
        <w:t>buero@zink-zunder.example</w:t>
      </w:r>
    </w:p>
    <w:p>
      <w:pPr>
        <w:pStyle w:val="Title"/>
      </w:pPr>
      <w:r>
        <w:t>Stand der Unterlagen beim Beirat</w:t>
      </w:r>
    </w:p>
    <w:p>
      <w:r>
        <w:t>30.09.2026</w:t>
      </w:r>
    </w:p>
    <w:p>
      <w:pPr>
        <w:pStyle w:val="Heading1"/>
      </w:pPr>
      <w:r>
        <w:t>1 Erhaltene Unterlagen</w:t>
      </w:r>
    </w:p>
    <w:p>
      <w:r>
        <w:t>Uns liegen inzwischen die beiden Darlehensabschriften, die Augustübersicht und die Mitteilung über die Zahlung von 30.000 EUR vor. Die Prüfung früherer Zustimmungsnachrichten ist noch nicht abgeschlossen. Herr Senf hat eine Gesprächseinladung aus Januar 2025 gefunden; Frau Mohn eine kurze Nachricht zum Sommerbedarf 2026. Diese Unterlagen belegen für sich keine ausdrückliche gemeinsame Freigabe der konkreten Vertragsfassungen.</w:t>
      </w:r>
    </w:p>
    <w:p>
      <w:pPr>
        <w:pStyle w:val="Heading1"/>
      </w:pPr>
      <w:r>
        <w:t>2 Noch benötigte Angaben</w:t>
      </w:r>
    </w:p>
    <w:p>
      <w:r>
        <w:t>Bitte stellen Sie die damaligen Vertragsfassungen, Anträge, Antworten und Zahlungsfreigaben vollständig zusammen. Wir benötigen außerdem die Fälligkeiten der aktuellen offenen Posten, mögliche Stundungen und konkrete Finanzierungszusagen. Der Bankbestand allein beantwortet die anstehenden Fragen nicht. Die Augustübersicht ist nicht geprüft und enthält noch offene Bewertungsfragen.</w:t>
      </w:r>
    </w:p>
    <w:p>
      <w:pPr>
        <w:pStyle w:val="Heading1"/>
      </w:pPr>
      <w:r>
        <w:t>3 Rollen</w:t>
      </w:r>
    </w:p>
    <w:p>
      <w:r>
        <w:t>Wir entscheiden nicht über die Wirksamkeit der streitigen Gesellschafterbeschlüsse. Wir können weder die Vertretungsregel im Außenverhältnis ändern noch einen persönlichen Auftrag Romys in einen Auftrag der GmbH umwandeln. Diese Stellungnahme enthält keine nachträgliche Genehmigung der Darlehen oder Rückzahlung.</w:t>
      </w:r>
    </w:p>
    <w:p>
      <w:pPr>
        <w:pStyle w:val="Heading1"/>
      </w:pPr>
      <w:r>
        <w:t>4 Vorschlag</w:t>
      </w:r>
    </w:p>
    <w:p>
      <w:r>
        <w:t>Wir regen an, die Dokumente unverändert zu sichern und bis zur rechtlichen Klärung keine auf den streitigen Einziehungsfeststellungen beruhende Neuordnung als einvernehmlich zu behandeln. Die laufenden gesetzlichen Pflichten der zuständigen Personen bleiben zu beachten. Eine abschließende Freigabe weiterer Zahlungen geben wir mit diesem Schreiben nicht.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der Unterlagen beim Beirat</dc:title>
  <dc:subject/>
  <dc:creator>Mechthild Mohn und Samir Senf
Fakultativer Beirat
beirat@zink-zunder.example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