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Romy Yilmaz</w:t>
        <w:br/>
        <w:t>Parkbogen 7, 13086 Berlin</w:t>
        <w:br/>
        <w:t>romy@zink-zunder.example</w:t>
      </w:r>
    </w:p>
    <w:p>
      <w:r>
        <w:t>Rechtsanwältin Clara Klee</w:t>
        <w:br/>
        <w:t>Kanzlei Klee und Kolben</w:t>
        <w:br/>
        <w:t>Kanalbüro 9, 10999 Berlin</w:t>
        <w:br/>
        <w:t>clara@klee-kolben.example</w:t>
      </w:r>
    </w:p>
    <w:p>
      <w:pPr>
        <w:pStyle w:val="Title"/>
      </w:pPr>
      <w:r>
        <w:t>Persönliche Notiz für die Beratung</w:t>
      </w:r>
    </w:p>
    <w:p>
      <w:r>
        <w:t>01.10.2026</w:t>
      </w:r>
    </w:p>
    <w:p>
      <w:pPr>
        <w:pStyle w:val="Heading1"/>
      </w:pPr>
      <w:r>
        <w:t>1 Was ich erreichen möchte</w:t>
      </w:r>
    </w:p>
    <w:p>
      <w:r>
        <w:t>Ich möchte meinen Anteil und meine Rechte sichern, ohne die Werkstatt zu zerstören. Ich bin zu einem fairen Verkauf bereit, wenn Preis, mein Darlehen und Garantien geregelt sind. Ich möchte weder automatisch Kuniberts Anteil übernehmen noch meine Zustimmung durch einen Streitvorwurf ersetzt sehen.</w:t>
      </w:r>
    </w:p>
    <w:p>
      <w:pPr>
        <w:pStyle w:val="Heading1"/>
      </w:pPr>
      <w:r>
        <w:t>2 Eigene Handlungen</w:t>
      </w:r>
    </w:p>
    <w:p>
      <w:r>
        <w:t>Ich habe Kuniberts Darlehen allein für die GmbH unterschrieben. Ich ging damals davon aus, dass die andere Unterschrift später ergänzt wird. Dafür habe ich keinen unterschriebenen Nachtrag. Bei der Rückzahlung habe ich mich auf seine Darstellung verlassen, dass das Geld nur kurzfristig gebraucht worden sei. Gundula hat die Bankzahlung technisch bestätigt. Ich weiß nicht, ob das rechtlich etwas an der Darlehensfrage ändert.</w:t>
      </w:r>
    </w:p>
    <w:p>
      <w:pPr>
        <w:pStyle w:val="Heading1"/>
      </w:pPr>
      <w:r>
        <w:t>3 Konkurrenz und Unterlagen</w:t>
      </w:r>
    </w:p>
    <w:p>
      <w:r>
        <w:t>Kunibert erzählte mir am 8. September nach dem Finanzierungsgespräch erstmals von Fensterfuchs und sagte, er habe schon mit Marta Alt über ein eigenes Angebot gesprochen. So habe ich das Gespräch verstanden; Kunibert bezeichnet es inzwischen als bloße Vorüberlegung. Einen schriftlichen Nachweis dieser frühen Ansprache hatte ich bei meinem Ergänzungsantrag noch nicht. Das Projektprofil und die Kundenmail kamen erst später hinzu. Der Logauszug zeigt Kopien, aber ich kann nicht aus eigener Kenntnis sagen, wo die Dateien danach verwendet wurden. Beim Rahmenmodell haben mehrere Personen mitgearbeitet. Den Vertrag mit dem früheren Zeichner suche ich noch. Ich möchte keine Behauptung unterschreiben, die ich nicht belegen kann.</w:t>
      </w:r>
    </w:p>
    <w:p>
      <w:pPr>
        <w:pStyle w:val="Heading1"/>
      </w:pPr>
      <w:r>
        <w:t>4 Stand nach der Versammlung</w:t>
      </w:r>
    </w:p>
    <w:p>
      <w:r>
        <w:t>Bis heute habe ich unverändert Zugriff auf die betriebliche Ablage. Eine Registeränderung wurde mir nicht gezeigt. Das Protokoll ging mir am 28. September zu. Den Notartermin am 9. Oktober habe ich nicht abgesagt, aber auch keine Erklärung genehmigt. Bitte prüfen Sie, welche Schritte vorher notwendig sind und gegen wen ich jeweils vorgehen muss. Meine E-Mail-Adressen und Postanschrift stehen in den Unterlagen.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Persönliche Notiz für die Beratung</dc:title>
  <dc:subject/>
  <dc:creator>Romy Yilmaz
Parkbogen 7, 13086 Berlin
romy@zink-zunder.example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