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Gundula Pfennig</w:t>
        <w:br/>
        <w:t>gundula@zink-zunder.example</w:t>
      </w:r>
    </w:p>
    <w:p>
      <w:r>
        <w:t>Gesellschaftsablage</w:t>
      </w:r>
    </w:p>
    <w:p>
      <w:pPr>
        <w:pStyle w:val="Title"/>
      </w:pPr>
      <w:r>
        <w:t>Büronotiz zu Zugängen und nächsten Terminen</w:t>
      </w:r>
    </w:p>
    <w:p>
      <w:r>
        <w:t>01.10.2026</w:t>
      </w:r>
    </w:p>
    <w:p>
      <w:pPr>
        <w:pStyle w:val="Heading1"/>
      </w:pPr>
      <w:r>
        <w:t>1 Zugänge und Unterlagen</w:t>
      </w:r>
    </w:p>
    <w:p>
      <w:r>
        <w:t>Die bisherigen betrieblichen Kennungen der beiden Geschäftsführer sind unverändert aktiv. Ich habe keine private oder betriebliche E-Mail gelöscht und die Versammlungsunterlagen zusammengehalten. Der CAD-Logauszug ist gesichert. Private Geräte werden durch das Büro nicht ohne geklärten Auftrag untersucht.</w:t>
      </w:r>
    </w:p>
    <w:p>
      <w:pPr>
        <w:pStyle w:val="Heading1"/>
      </w:pPr>
      <w:r>
        <w:t>2 Register und Bank</w:t>
      </w:r>
    </w:p>
    <w:p>
      <w:r>
        <w:t>Mir ist keine auf die Versammlung vom 25. September gestützte Registeranmeldung oder neue Gesellschafterliste bekannt. Ich habe keine solche Erklärung unterschrieben oder versandt. Die Bank hat von uns noch keinen Änderungsauftrag für die Vertretungs- oder Zugriffsrechte erhalten. Ob außerhalb unseres Büros jemand Unterlagen vorbereitet hat, kann ich nicht abschließend ausschließen.</w:t>
      </w:r>
    </w:p>
    <w:p>
      <w:pPr>
        <w:pStyle w:val="Heading1"/>
      </w:pPr>
      <w:r>
        <w:t>3 Termine</w:t>
      </w:r>
    </w:p>
    <w:p>
      <w:r>
        <w:t>Bei dem angefragten Notar ist der 9. Oktober um 11 Uhr vorgemerkt. Eine beurkundungsreife Fassung ist dem Büro nicht übermittelt worden. Hanna Blech hat für den 6. Oktober ein unverbindliches Gespräch angeboten. Die Steuerberatung wartet auf die Darlehensunterlagen. Keiner dieser Termine ersetzt aus Sicht des Büros die gesonderte Bearbeitung gesetzlicher oder vereinbarter Fristen.</w:t>
      </w:r>
    </w:p>
    <w:p>
      <w:pPr>
        <w:pStyle w:val="Heading1"/>
      </w:pPr>
      <w:r>
        <w:t>4 Anweisungen</w:t>
      </w:r>
    </w:p>
    <w:p>
      <w:r>
        <w:t>Romy und Kunibert erteilen teilweise gegensätzliche interne Weisungen. Ich habe beide um eine schriftliche Klärung gebeten, wer welche Maßnahmen beauftragt. Diese Notiz trifft keine rechtliche Entscheidung über ihre Organstellung. Notwendige laufende Fristsachen und Zahlungen werden nicht allein aufgrund einer privaten Einschätzung zurückgestellt, sondern den verantwortlichen Personen zur konkreten Entscheidung vorgelegt.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Büronotiz zu Zugängen und nächsten Terminen</dc:title>
  <dc:subject/>
  <dc:creator>Gundula Pfennig
gundula@zink-zunder.example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